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9D046" w14:textId="77777777" w:rsidR="00005722" w:rsidRPr="00005722" w:rsidRDefault="00005722" w:rsidP="00B5289E">
      <w:pPr>
        <w:ind w:left="6372" w:firstLine="567"/>
        <w:jc w:val="both"/>
        <w:rPr>
          <w:rStyle w:val="s0"/>
          <w:b/>
          <w:bCs/>
          <w:lang w:val="en-US"/>
        </w:rPr>
      </w:pPr>
      <w:r w:rsidRPr="00005722">
        <w:rPr>
          <w:rStyle w:val="s0"/>
          <w:b/>
          <w:bCs/>
          <w:lang w:val="en-US"/>
        </w:rPr>
        <w:t>Approved</w:t>
      </w:r>
    </w:p>
    <w:p w14:paraId="3DA80743" w14:textId="4DCB3898" w:rsidR="00005722" w:rsidRPr="00005722" w:rsidRDefault="00FE037D" w:rsidP="00B5289E">
      <w:pPr>
        <w:ind w:left="6372" w:firstLine="567"/>
        <w:jc w:val="both"/>
        <w:rPr>
          <w:rStyle w:val="s0"/>
          <w:b/>
          <w:bCs/>
          <w:lang w:val="en-US"/>
        </w:rPr>
      </w:pPr>
      <w:r>
        <w:rPr>
          <w:rStyle w:val="s0"/>
          <w:b/>
          <w:bCs/>
          <w:lang w:val="en-US"/>
        </w:rPr>
        <w:t>b</w:t>
      </w:r>
      <w:r w:rsidR="00B5289E">
        <w:rPr>
          <w:rStyle w:val="s0"/>
          <w:b/>
          <w:bCs/>
          <w:lang w:val="en-US"/>
        </w:rPr>
        <w:t>y the D</w:t>
      </w:r>
      <w:r w:rsidR="00005722" w:rsidRPr="00005722">
        <w:rPr>
          <w:rStyle w:val="s0"/>
          <w:b/>
          <w:bCs/>
          <w:lang w:val="en-US"/>
        </w:rPr>
        <w:t>ecision of the Board</w:t>
      </w:r>
    </w:p>
    <w:p w14:paraId="095A721C" w14:textId="51BECC62" w:rsidR="00005722" w:rsidRPr="00005722" w:rsidRDefault="005020E6" w:rsidP="00B5289E">
      <w:pPr>
        <w:ind w:left="6939"/>
        <w:rPr>
          <w:rStyle w:val="s0"/>
          <w:b/>
          <w:bCs/>
          <w:lang w:val="en-US"/>
        </w:rPr>
      </w:pPr>
      <w:r w:rsidRPr="00005722">
        <w:rPr>
          <w:rStyle w:val="s0"/>
          <w:b/>
          <w:bCs/>
          <w:lang w:val="en-US"/>
        </w:rPr>
        <w:t>"Damu"</w:t>
      </w:r>
      <w:r w:rsidRPr="00A130FB">
        <w:rPr>
          <w:rStyle w:val="s0"/>
          <w:b/>
          <w:bCs/>
          <w:lang w:val="en-US"/>
        </w:rPr>
        <w:t xml:space="preserve"> </w:t>
      </w:r>
      <w:r w:rsidR="00A130FB">
        <w:rPr>
          <w:rStyle w:val="s0"/>
          <w:b/>
          <w:bCs/>
          <w:lang w:val="en-US"/>
        </w:rPr>
        <w:t>E</w:t>
      </w:r>
      <w:r w:rsidR="00A130FB" w:rsidRPr="00005722">
        <w:rPr>
          <w:rStyle w:val="s0"/>
          <w:b/>
          <w:bCs/>
          <w:lang w:val="en-US"/>
        </w:rPr>
        <w:t xml:space="preserve">ntrepreneurship </w:t>
      </w:r>
      <w:r w:rsidR="00005722" w:rsidRPr="00005722">
        <w:rPr>
          <w:rStyle w:val="s0"/>
          <w:b/>
          <w:bCs/>
          <w:lang w:val="en-US"/>
        </w:rPr>
        <w:t>Development Fund</w:t>
      </w:r>
      <w:r>
        <w:rPr>
          <w:rStyle w:val="s0"/>
          <w:b/>
          <w:bCs/>
          <w:lang w:val="en-US"/>
        </w:rPr>
        <w:t xml:space="preserve"> </w:t>
      </w:r>
      <w:r w:rsidR="00A130FB" w:rsidRPr="00005722">
        <w:rPr>
          <w:rStyle w:val="s0"/>
          <w:b/>
          <w:bCs/>
          <w:lang w:val="en-US"/>
        </w:rPr>
        <w:t>JSC</w:t>
      </w:r>
    </w:p>
    <w:p w14:paraId="6DD84275" w14:textId="77777777" w:rsidR="00005722" w:rsidRPr="00005722" w:rsidRDefault="00005722" w:rsidP="00B5289E">
      <w:pPr>
        <w:ind w:firstLine="567"/>
        <w:jc w:val="both"/>
        <w:rPr>
          <w:rStyle w:val="s0"/>
          <w:b/>
          <w:bCs/>
          <w:lang w:val="en-US"/>
        </w:rPr>
      </w:pPr>
    </w:p>
    <w:p w14:paraId="1C7A7BBE" w14:textId="30280FBE" w:rsidR="00005722" w:rsidRPr="00005722" w:rsidRDefault="00545429" w:rsidP="00B5289E">
      <w:pPr>
        <w:ind w:left="6372" w:firstLine="567"/>
        <w:jc w:val="both"/>
        <w:rPr>
          <w:rStyle w:val="s0"/>
          <w:b/>
          <w:bCs/>
          <w:lang w:val="en-US"/>
        </w:rPr>
      </w:pPr>
      <w:r>
        <w:rPr>
          <w:rStyle w:val="s0"/>
          <w:b/>
          <w:bCs/>
          <w:lang w:val="en-US"/>
        </w:rPr>
        <w:t>Appendix No. 5</w:t>
      </w:r>
      <w:bookmarkStart w:id="0" w:name="_GoBack"/>
      <w:bookmarkEnd w:id="0"/>
    </w:p>
    <w:p w14:paraId="21E9D79B" w14:textId="1D038912" w:rsidR="00005722" w:rsidRPr="00005722" w:rsidRDefault="00005722" w:rsidP="00B5289E">
      <w:pPr>
        <w:ind w:left="6372" w:firstLine="567"/>
        <w:jc w:val="both"/>
        <w:rPr>
          <w:rStyle w:val="s0"/>
          <w:b/>
          <w:bCs/>
          <w:lang w:val="en-US"/>
        </w:rPr>
      </w:pPr>
      <w:r w:rsidRPr="00005722">
        <w:rPr>
          <w:rStyle w:val="s0"/>
          <w:b/>
          <w:bCs/>
          <w:lang w:val="en-US"/>
        </w:rPr>
        <w:t xml:space="preserve">to the </w:t>
      </w:r>
      <w:r w:rsidR="00B5289E">
        <w:rPr>
          <w:rStyle w:val="s0"/>
          <w:b/>
          <w:bCs/>
          <w:lang w:val="en-US"/>
        </w:rPr>
        <w:t>M</w:t>
      </w:r>
      <w:r>
        <w:rPr>
          <w:rStyle w:val="s0"/>
          <w:b/>
          <w:bCs/>
          <w:lang w:val="en-US"/>
        </w:rPr>
        <w:t xml:space="preserve">eeting </w:t>
      </w:r>
      <w:r w:rsidR="00B5289E">
        <w:rPr>
          <w:rStyle w:val="s0"/>
          <w:b/>
          <w:bCs/>
          <w:lang w:val="en-US"/>
        </w:rPr>
        <w:t>P</w:t>
      </w:r>
      <w:r w:rsidR="00395212">
        <w:rPr>
          <w:rStyle w:val="s0"/>
          <w:b/>
          <w:bCs/>
          <w:lang w:val="en-US"/>
        </w:rPr>
        <w:t>rotocol</w:t>
      </w:r>
    </w:p>
    <w:p w14:paraId="3CB43ACA" w14:textId="77777777" w:rsidR="00395212" w:rsidRDefault="00005722" w:rsidP="00B5289E">
      <w:pPr>
        <w:ind w:left="6372" w:firstLine="567"/>
        <w:jc w:val="both"/>
        <w:rPr>
          <w:rStyle w:val="s0"/>
          <w:b/>
          <w:bCs/>
          <w:lang w:val="en-US"/>
        </w:rPr>
      </w:pPr>
      <w:r>
        <w:rPr>
          <w:rStyle w:val="s0"/>
          <w:b/>
          <w:bCs/>
          <w:lang w:val="en-US"/>
        </w:rPr>
        <w:t>o</w:t>
      </w:r>
      <w:r w:rsidRPr="00005722">
        <w:rPr>
          <w:rStyle w:val="s0"/>
          <w:b/>
          <w:bCs/>
          <w:lang w:val="en-US"/>
        </w:rPr>
        <w:t>f the Management Board</w:t>
      </w:r>
    </w:p>
    <w:p w14:paraId="24A71B96" w14:textId="77777777" w:rsidR="00395212" w:rsidRDefault="00005722" w:rsidP="00B5289E">
      <w:pPr>
        <w:ind w:left="6372" w:firstLine="567"/>
        <w:jc w:val="both"/>
        <w:rPr>
          <w:rStyle w:val="s0"/>
          <w:b/>
          <w:bCs/>
          <w:lang w:val="en-US"/>
        </w:rPr>
      </w:pPr>
      <w:r w:rsidRPr="00005722">
        <w:rPr>
          <w:rStyle w:val="s0"/>
          <w:b/>
          <w:bCs/>
          <w:lang w:val="en-US"/>
        </w:rPr>
        <w:t xml:space="preserve">of </w:t>
      </w:r>
      <w:r w:rsidR="00395212" w:rsidRPr="00005722">
        <w:rPr>
          <w:rStyle w:val="s0"/>
          <w:b/>
          <w:bCs/>
          <w:lang w:val="en-US"/>
        </w:rPr>
        <w:t>"Damu"</w:t>
      </w:r>
      <w:r w:rsidR="00395212">
        <w:rPr>
          <w:rStyle w:val="s0"/>
          <w:b/>
          <w:bCs/>
          <w:lang w:val="en-US"/>
        </w:rPr>
        <w:t xml:space="preserve"> </w:t>
      </w:r>
    </w:p>
    <w:p w14:paraId="230115E6" w14:textId="02AEE0E6" w:rsidR="00005722" w:rsidRPr="00005722" w:rsidRDefault="00343D4D" w:rsidP="00B5289E">
      <w:pPr>
        <w:ind w:left="6939"/>
        <w:jc w:val="both"/>
        <w:rPr>
          <w:rStyle w:val="s0"/>
          <w:b/>
          <w:bCs/>
          <w:lang w:val="en-US"/>
        </w:rPr>
      </w:pPr>
      <w:r>
        <w:rPr>
          <w:rStyle w:val="s0"/>
          <w:b/>
          <w:bCs/>
          <w:lang w:val="en-US"/>
        </w:rPr>
        <w:t>E</w:t>
      </w:r>
      <w:r w:rsidR="00395212" w:rsidRPr="00005722">
        <w:rPr>
          <w:rStyle w:val="s0"/>
          <w:b/>
          <w:bCs/>
          <w:lang w:val="en-US"/>
        </w:rPr>
        <w:t xml:space="preserve">ntrepreneurship </w:t>
      </w:r>
      <w:r w:rsidR="00395212">
        <w:rPr>
          <w:rStyle w:val="s0"/>
          <w:b/>
          <w:bCs/>
          <w:lang w:val="en-US"/>
        </w:rPr>
        <w:t xml:space="preserve">        </w:t>
      </w:r>
      <w:r w:rsidR="00005722" w:rsidRPr="00005722">
        <w:rPr>
          <w:rStyle w:val="s0"/>
          <w:b/>
          <w:bCs/>
          <w:lang w:val="en-US"/>
        </w:rPr>
        <w:t xml:space="preserve">Development </w:t>
      </w:r>
      <w:r w:rsidR="00B5289E">
        <w:rPr>
          <w:rStyle w:val="s0"/>
          <w:b/>
          <w:bCs/>
          <w:lang w:val="en-US"/>
        </w:rPr>
        <w:t>F</w:t>
      </w:r>
      <w:r w:rsidR="00005722" w:rsidRPr="00005722">
        <w:rPr>
          <w:rStyle w:val="s0"/>
          <w:b/>
          <w:bCs/>
          <w:lang w:val="en-US"/>
        </w:rPr>
        <w:t>und</w:t>
      </w:r>
      <w:r w:rsidR="00395212" w:rsidRPr="00395212">
        <w:rPr>
          <w:rStyle w:val="s0"/>
          <w:b/>
          <w:bCs/>
          <w:lang w:val="en-US"/>
        </w:rPr>
        <w:t xml:space="preserve"> </w:t>
      </w:r>
      <w:r w:rsidR="00395212" w:rsidRPr="00005722">
        <w:rPr>
          <w:rStyle w:val="s0"/>
          <w:b/>
          <w:bCs/>
          <w:lang w:val="en-US"/>
        </w:rPr>
        <w:t>JSC</w:t>
      </w:r>
    </w:p>
    <w:p w14:paraId="723A3A8E" w14:textId="76D0D422" w:rsidR="00005722" w:rsidRPr="00005722" w:rsidRDefault="00B5289E" w:rsidP="00B5289E">
      <w:pPr>
        <w:ind w:left="6372" w:firstLine="567"/>
        <w:jc w:val="both"/>
        <w:rPr>
          <w:rStyle w:val="s0"/>
          <w:b/>
          <w:bCs/>
          <w:lang w:val="en-US"/>
        </w:rPr>
      </w:pPr>
      <w:r>
        <w:rPr>
          <w:rStyle w:val="s0"/>
          <w:b/>
          <w:bCs/>
          <w:lang w:val="en-US"/>
        </w:rPr>
        <w:t xml:space="preserve">Dated 12 March </w:t>
      </w:r>
      <w:r w:rsidR="00005722" w:rsidRPr="00005722">
        <w:rPr>
          <w:rStyle w:val="s0"/>
          <w:b/>
          <w:bCs/>
          <w:lang w:val="en-US"/>
        </w:rPr>
        <w:t>2021</w:t>
      </w:r>
    </w:p>
    <w:p w14:paraId="6F27A1BC" w14:textId="43075E4D" w:rsidR="00BE18A7" w:rsidRPr="00E95D4E" w:rsidRDefault="00005722" w:rsidP="00B5289E">
      <w:pPr>
        <w:ind w:left="6372" w:firstLine="567"/>
        <w:jc w:val="both"/>
        <w:rPr>
          <w:lang w:val="en-US"/>
        </w:rPr>
      </w:pPr>
      <w:r w:rsidRPr="00005722">
        <w:rPr>
          <w:rStyle w:val="s0"/>
          <w:b/>
          <w:bCs/>
          <w:lang w:val="en-US"/>
        </w:rPr>
        <w:t xml:space="preserve">protocol No. </w:t>
      </w:r>
      <w:r w:rsidR="00B5289E">
        <w:rPr>
          <w:rStyle w:val="s0"/>
          <w:b/>
          <w:bCs/>
          <w:lang w:val="en-US"/>
        </w:rPr>
        <w:t>19/2021</w:t>
      </w:r>
      <w:r w:rsidR="00BE18A7" w:rsidRPr="00E95D4E">
        <w:rPr>
          <w:rStyle w:val="s0"/>
          <w:lang w:val="en-US"/>
        </w:rPr>
        <w:t> </w:t>
      </w:r>
    </w:p>
    <w:p w14:paraId="5E7497D1" w14:textId="77777777" w:rsidR="00BE18A7" w:rsidRPr="00E95D4E" w:rsidRDefault="00BE18A7" w:rsidP="00395212">
      <w:pPr>
        <w:ind w:left="567" w:firstLine="567"/>
        <w:rPr>
          <w:lang w:val="en-US"/>
        </w:rPr>
      </w:pPr>
      <w:r w:rsidRPr="00E95D4E">
        <w:rPr>
          <w:rStyle w:val="s0"/>
          <w:lang w:val="en-US"/>
        </w:rPr>
        <w:t> </w:t>
      </w:r>
    </w:p>
    <w:p w14:paraId="39F103C5" w14:textId="77777777" w:rsidR="00BE18A7" w:rsidRPr="00E95D4E" w:rsidRDefault="00BE18A7" w:rsidP="009203AF">
      <w:pPr>
        <w:ind w:firstLine="567"/>
        <w:rPr>
          <w:lang w:val="en-US"/>
        </w:rPr>
      </w:pPr>
      <w:r w:rsidRPr="00E95D4E">
        <w:rPr>
          <w:rStyle w:val="s0"/>
          <w:lang w:val="en-US"/>
        </w:rPr>
        <w:t> </w:t>
      </w:r>
    </w:p>
    <w:p w14:paraId="7EEFB7C6" w14:textId="77777777" w:rsidR="00B5289E" w:rsidRDefault="00B5289E" w:rsidP="00B5289E">
      <w:pPr>
        <w:ind w:firstLine="567"/>
        <w:jc w:val="center"/>
        <w:rPr>
          <w:rStyle w:val="s1"/>
          <w:lang w:val="en-US"/>
        </w:rPr>
      </w:pPr>
      <w:r>
        <w:rPr>
          <w:rStyle w:val="s1"/>
          <w:lang w:val="en-US"/>
        </w:rPr>
        <w:t xml:space="preserve"> </w:t>
      </w:r>
      <w:r w:rsidR="002D2867">
        <w:rPr>
          <w:rStyle w:val="s1"/>
          <w:lang w:val="en-US"/>
        </w:rPr>
        <w:t>“</w:t>
      </w:r>
      <w:r w:rsidR="00005722" w:rsidRPr="00005722">
        <w:rPr>
          <w:rStyle w:val="s1"/>
          <w:lang w:val="en-US"/>
        </w:rPr>
        <w:t>Damu</w:t>
      </w:r>
      <w:r w:rsidR="002D2867">
        <w:rPr>
          <w:rStyle w:val="s1"/>
          <w:lang w:val="en-US"/>
        </w:rPr>
        <w:t>”</w:t>
      </w:r>
      <w:r w:rsidR="00005722" w:rsidRPr="00005722">
        <w:rPr>
          <w:rStyle w:val="s1"/>
          <w:lang w:val="en-US"/>
        </w:rPr>
        <w:t xml:space="preserve"> Entrepreneurship Development Fund JSC</w:t>
      </w:r>
      <w:r w:rsidRPr="00B5289E">
        <w:rPr>
          <w:rStyle w:val="s1"/>
          <w:lang w:val="en-US"/>
        </w:rPr>
        <w:t xml:space="preserve"> </w:t>
      </w:r>
    </w:p>
    <w:p w14:paraId="7C9AC3B2" w14:textId="262BF200" w:rsidR="00B5289E" w:rsidRDefault="00B5289E" w:rsidP="00B5289E">
      <w:pPr>
        <w:ind w:firstLine="567"/>
        <w:jc w:val="center"/>
        <w:rPr>
          <w:rStyle w:val="s1"/>
          <w:lang w:val="en-US"/>
        </w:rPr>
      </w:pPr>
      <w:r>
        <w:rPr>
          <w:rStyle w:val="s1"/>
          <w:lang w:val="en-US"/>
        </w:rPr>
        <w:t>Gender P</w:t>
      </w:r>
      <w:r w:rsidRPr="00005722">
        <w:rPr>
          <w:rStyle w:val="s1"/>
          <w:lang w:val="en-US"/>
        </w:rPr>
        <w:t>olicy</w:t>
      </w:r>
      <w:r>
        <w:rPr>
          <w:rStyle w:val="s1"/>
          <w:lang w:val="en-US"/>
        </w:rPr>
        <w:t xml:space="preserve"> </w:t>
      </w:r>
    </w:p>
    <w:p w14:paraId="48DF8B7E" w14:textId="2EC953A6" w:rsidR="00005722" w:rsidRPr="00005722" w:rsidRDefault="00005722" w:rsidP="00B5289E">
      <w:pPr>
        <w:ind w:firstLine="567"/>
        <w:jc w:val="center"/>
        <w:rPr>
          <w:rStyle w:val="s1"/>
          <w:lang w:val="en-US"/>
        </w:rPr>
      </w:pPr>
    </w:p>
    <w:p w14:paraId="71903376" w14:textId="441335C5" w:rsidR="00826099" w:rsidRPr="00005722" w:rsidRDefault="00826099" w:rsidP="00826099">
      <w:pPr>
        <w:ind w:firstLine="567"/>
        <w:jc w:val="center"/>
        <w:rPr>
          <w:rStyle w:val="s1"/>
          <w:lang w:val="en-US"/>
        </w:rPr>
      </w:pPr>
    </w:p>
    <w:p w14:paraId="3002A2CE" w14:textId="0DD6D885" w:rsidR="00826099" w:rsidRPr="00005722" w:rsidRDefault="00826099" w:rsidP="00826099">
      <w:pPr>
        <w:ind w:firstLine="567"/>
        <w:jc w:val="center"/>
        <w:rPr>
          <w:rStyle w:val="s1"/>
          <w:lang w:val="en-US"/>
        </w:rPr>
      </w:pPr>
    </w:p>
    <w:p w14:paraId="04CAF565" w14:textId="77777777" w:rsidR="00FA6A7C" w:rsidRPr="00005722" w:rsidRDefault="00FA6A7C" w:rsidP="009203AF">
      <w:pPr>
        <w:ind w:firstLine="567"/>
        <w:jc w:val="center"/>
        <w:rPr>
          <w:rStyle w:val="s1"/>
          <w:lang w:val="en-US"/>
        </w:rPr>
      </w:pPr>
    </w:p>
    <w:p w14:paraId="7934E9E5" w14:textId="77777777" w:rsidR="009702E0" w:rsidRPr="00005722" w:rsidRDefault="009702E0" w:rsidP="009203AF">
      <w:pPr>
        <w:ind w:firstLine="567"/>
        <w:jc w:val="center"/>
        <w:rPr>
          <w:rStyle w:val="s1"/>
          <w:b w:val="0"/>
          <w:lang w:val="en-US"/>
        </w:rPr>
      </w:pPr>
    </w:p>
    <w:p w14:paraId="7DFDFDF5" w14:textId="77777777" w:rsidR="009702E0" w:rsidRPr="00005722" w:rsidRDefault="009702E0" w:rsidP="009203AF">
      <w:pPr>
        <w:ind w:firstLine="567"/>
        <w:jc w:val="center"/>
        <w:rPr>
          <w:rStyle w:val="s1"/>
          <w:b w:val="0"/>
          <w:lang w:val="en-US"/>
        </w:rPr>
      </w:pPr>
    </w:p>
    <w:p w14:paraId="1404A54E" w14:textId="77777777" w:rsidR="009702E0" w:rsidRPr="00005722" w:rsidRDefault="009702E0" w:rsidP="009203AF">
      <w:pPr>
        <w:ind w:firstLine="567"/>
        <w:jc w:val="center"/>
        <w:rPr>
          <w:rStyle w:val="s1"/>
          <w:b w:val="0"/>
          <w:lang w:val="en-US"/>
        </w:rPr>
      </w:pPr>
    </w:p>
    <w:p w14:paraId="11465A36" w14:textId="77777777" w:rsidR="009702E0" w:rsidRPr="00005722" w:rsidRDefault="009702E0" w:rsidP="009203AF">
      <w:pPr>
        <w:ind w:firstLine="567"/>
        <w:jc w:val="center"/>
        <w:rPr>
          <w:rStyle w:val="s1"/>
          <w:b w:val="0"/>
          <w:lang w:val="en-US"/>
        </w:rPr>
      </w:pPr>
    </w:p>
    <w:p w14:paraId="52FF77EC" w14:textId="77777777" w:rsidR="009702E0" w:rsidRPr="00005722" w:rsidRDefault="009702E0" w:rsidP="009203AF">
      <w:pPr>
        <w:ind w:firstLine="567"/>
        <w:jc w:val="center"/>
        <w:rPr>
          <w:rStyle w:val="s1"/>
          <w:b w:val="0"/>
          <w:lang w:val="en-US"/>
        </w:rPr>
      </w:pPr>
    </w:p>
    <w:p w14:paraId="2DA87C51" w14:textId="77777777" w:rsidR="009702E0" w:rsidRPr="00005722" w:rsidRDefault="009702E0" w:rsidP="009203AF">
      <w:pPr>
        <w:ind w:firstLine="567"/>
        <w:jc w:val="center"/>
        <w:rPr>
          <w:rStyle w:val="s1"/>
          <w:b w:val="0"/>
          <w:lang w:val="en-US"/>
        </w:rPr>
      </w:pPr>
    </w:p>
    <w:p w14:paraId="33B5F243" w14:textId="77777777" w:rsidR="009702E0" w:rsidRPr="00005722" w:rsidRDefault="009702E0" w:rsidP="009203AF">
      <w:pPr>
        <w:ind w:firstLine="567"/>
        <w:jc w:val="center"/>
        <w:rPr>
          <w:rStyle w:val="s1"/>
          <w:b w:val="0"/>
          <w:lang w:val="en-US"/>
        </w:rPr>
      </w:pPr>
    </w:p>
    <w:p w14:paraId="661BCF13" w14:textId="77777777" w:rsidR="009702E0" w:rsidRPr="00005722" w:rsidRDefault="009702E0" w:rsidP="009203AF">
      <w:pPr>
        <w:ind w:firstLine="567"/>
        <w:jc w:val="center"/>
        <w:rPr>
          <w:rStyle w:val="s1"/>
          <w:b w:val="0"/>
          <w:lang w:val="en-US"/>
        </w:rPr>
      </w:pPr>
    </w:p>
    <w:p w14:paraId="53E40AD4" w14:textId="77777777" w:rsidR="009702E0" w:rsidRPr="00005722" w:rsidRDefault="009702E0" w:rsidP="009203AF">
      <w:pPr>
        <w:ind w:firstLine="567"/>
        <w:jc w:val="center"/>
        <w:rPr>
          <w:rStyle w:val="s1"/>
          <w:b w:val="0"/>
          <w:lang w:val="en-US"/>
        </w:rPr>
      </w:pPr>
    </w:p>
    <w:p w14:paraId="6E805BAD" w14:textId="77777777" w:rsidR="000B6668" w:rsidRPr="00005722" w:rsidRDefault="000B6668" w:rsidP="009203AF">
      <w:pPr>
        <w:ind w:firstLine="567"/>
        <w:jc w:val="center"/>
        <w:rPr>
          <w:rStyle w:val="s1"/>
          <w:b w:val="0"/>
          <w:lang w:val="en-US"/>
        </w:rPr>
      </w:pPr>
    </w:p>
    <w:p w14:paraId="4D49F4EE" w14:textId="77777777" w:rsidR="009702E0" w:rsidRPr="00005722" w:rsidRDefault="009702E0" w:rsidP="009203AF">
      <w:pPr>
        <w:ind w:firstLine="567"/>
        <w:jc w:val="center"/>
        <w:rPr>
          <w:rStyle w:val="s1"/>
          <w:b w:val="0"/>
          <w:lang w:val="en-US"/>
        </w:rPr>
      </w:pPr>
    </w:p>
    <w:p w14:paraId="29463CAF" w14:textId="166B8CB7" w:rsidR="009702E0" w:rsidRPr="00005722" w:rsidRDefault="009702E0" w:rsidP="009203AF">
      <w:pPr>
        <w:ind w:firstLine="567"/>
        <w:jc w:val="center"/>
        <w:rPr>
          <w:rStyle w:val="s1"/>
          <w:b w:val="0"/>
          <w:lang w:val="en-US"/>
        </w:rPr>
      </w:pPr>
    </w:p>
    <w:p w14:paraId="3702021A" w14:textId="2DBFB935" w:rsidR="00C96171" w:rsidRPr="00005722" w:rsidRDefault="00C96171" w:rsidP="009203AF">
      <w:pPr>
        <w:ind w:firstLine="567"/>
        <w:jc w:val="center"/>
        <w:rPr>
          <w:rStyle w:val="s1"/>
          <w:b w:val="0"/>
          <w:lang w:val="en-US"/>
        </w:rPr>
      </w:pPr>
    </w:p>
    <w:p w14:paraId="2F30E87E" w14:textId="0D9FB86C" w:rsidR="00C96171" w:rsidRPr="00005722" w:rsidRDefault="00C96171" w:rsidP="009203AF">
      <w:pPr>
        <w:ind w:firstLine="567"/>
        <w:jc w:val="center"/>
        <w:rPr>
          <w:rStyle w:val="s1"/>
          <w:b w:val="0"/>
          <w:lang w:val="en-US"/>
        </w:rPr>
      </w:pPr>
    </w:p>
    <w:p w14:paraId="4372BB16" w14:textId="774D80E4" w:rsidR="00C96171" w:rsidRPr="00005722" w:rsidRDefault="00C96171" w:rsidP="009203AF">
      <w:pPr>
        <w:ind w:firstLine="567"/>
        <w:jc w:val="center"/>
        <w:rPr>
          <w:rStyle w:val="s1"/>
          <w:b w:val="0"/>
          <w:lang w:val="en-US"/>
        </w:rPr>
      </w:pPr>
    </w:p>
    <w:p w14:paraId="7356A51C" w14:textId="77777777" w:rsidR="00C96171" w:rsidRPr="00005722" w:rsidRDefault="00C96171" w:rsidP="009203AF">
      <w:pPr>
        <w:ind w:firstLine="567"/>
        <w:jc w:val="center"/>
        <w:rPr>
          <w:rStyle w:val="s1"/>
          <w:b w:val="0"/>
          <w:lang w:val="en-US"/>
        </w:rPr>
      </w:pPr>
    </w:p>
    <w:p w14:paraId="0692C079" w14:textId="77777777" w:rsidR="009702E0" w:rsidRPr="00005722" w:rsidRDefault="009702E0" w:rsidP="009203AF">
      <w:pPr>
        <w:ind w:firstLine="567"/>
        <w:jc w:val="center"/>
        <w:rPr>
          <w:rStyle w:val="s1"/>
          <w:b w:val="0"/>
          <w:lang w:val="en-US"/>
        </w:rPr>
      </w:pPr>
    </w:p>
    <w:p w14:paraId="46EE8C97" w14:textId="77777777" w:rsidR="009702E0" w:rsidRPr="00005722" w:rsidRDefault="009702E0" w:rsidP="009203AF">
      <w:pPr>
        <w:ind w:firstLine="567"/>
        <w:jc w:val="center"/>
        <w:rPr>
          <w:rStyle w:val="s1"/>
          <w:b w:val="0"/>
          <w:lang w:val="en-US"/>
        </w:rPr>
      </w:pPr>
    </w:p>
    <w:p w14:paraId="48946442" w14:textId="77777777" w:rsidR="009702E0" w:rsidRPr="00005722" w:rsidRDefault="009702E0" w:rsidP="009203AF">
      <w:pPr>
        <w:ind w:firstLine="567"/>
        <w:jc w:val="center"/>
        <w:rPr>
          <w:rStyle w:val="s1"/>
          <w:b w:val="0"/>
          <w:lang w:val="en-US"/>
        </w:rPr>
      </w:pPr>
    </w:p>
    <w:p w14:paraId="2C23AEDB" w14:textId="31A5862C" w:rsidR="009702E0" w:rsidRPr="00005722" w:rsidRDefault="009702E0" w:rsidP="0008198B">
      <w:pPr>
        <w:rPr>
          <w:rStyle w:val="s1"/>
          <w:b w:val="0"/>
          <w:lang w:val="en-US"/>
        </w:rPr>
      </w:pPr>
    </w:p>
    <w:p w14:paraId="6FF7D7F4" w14:textId="77777777" w:rsidR="009702E0" w:rsidRPr="00005722" w:rsidRDefault="009702E0" w:rsidP="009203AF">
      <w:pPr>
        <w:ind w:firstLine="567"/>
        <w:jc w:val="center"/>
        <w:rPr>
          <w:rStyle w:val="s1"/>
          <w:b w:val="0"/>
          <w:lang w:val="en-US"/>
        </w:rPr>
      </w:pPr>
    </w:p>
    <w:p w14:paraId="1224A806" w14:textId="77777777" w:rsidR="009702E0" w:rsidRPr="00005722" w:rsidRDefault="009702E0" w:rsidP="009203AF">
      <w:pPr>
        <w:ind w:firstLine="567"/>
        <w:jc w:val="center"/>
        <w:rPr>
          <w:rStyle w:val="s1"/>
          <w:b w:val="0"/>
          <w:lang w:val="en-US"/>
        </w:rPr>
      </w:pPr>
    </w:p>
    <w:p w14:paraId="234EB5BD" w14:textId="77777777" w:rsidR="009702E0" w:rsidRPr="00005722" w:rsidRDefault="009702E0" w:rsidP="009203AF">
      <w:pPr>
        <w:ind w:firstLine="567"/>
        <w:jc w:val="center"/>
        <w:rPr>
          <w:rStyle w:val="s1"/>
          <w:b w:val="0"/>
          <w:lang w:val="en-US"/>
        </w:rPr>
      </w:pPr>
    </w:p>
    <w:p w14:paraId="1D9ED90C" w14:textId="3E5C6131" w:rsidR="00FA6A7C" w:rsidRPr="003D5A36" w:rsidRDefault="003D5A36" w:rsidP="009203AF">
      <w:pPr>
        <w:ind w:firstLine="567"/>
        <w:jc w:val="center"/>
        <w:rPr>
          <w:rStyle w:val="s1"/>
          <w:b w:val="0"/>
          <w:lang w:val="en-US"/>
        </w:rPr>
      </w:pPr>
      <w:r>
        <w:rPr>
          <w:rStyle w:val="s1"/>
          <w:b w:val="0"/>
          <w:lang w:val="en-US"/>
        </w:rPr>
        <w:t xml:space="preserve">Almaty </w:t>
      </w:r>
    </w:p>
    <w:p w14:paraId="71F95C7A" w14:textId="77777777" w:rsidR="00FA6A7C" w:rsidRPr="00B5289E" w:rsidRDefault="00FA6A7C" w:rsidP="009203AF">
      <w:pPr>
        <w:ind w:firstLine="567"/>
        <w:jc w:val="center"/>
        <w:rPr>
          <w:rStyle w:val="s1"/>
          <w:b w:val="0"/>
          <w:lang w:val="en-US"/>
        </w:rPr>
      </w:pPr>
    </w:p>
    <w:p w14:paraId="065D9A3A" w14:textId="17AB0F6B" w:rsidR="00FA6A7C" w:rsidRPr="00B5289E" w:rsidRDefault="00FA6A7C" w:rsidP="009203AF">
      <w:pPr>
        <w:ind w:firstLine="567"/>
        <w:jc w:val="center"/>
        <w:rPr>
          <w:b/>
          <w:lang w:val="en-US"/>
        </w:rPr>
      </w:pPr>
      <w:r w:rsidRPr="00B5289E">
        <w:rPr>
          <w:rStyle w:val="s1"/>
          <w:b w:val="0"/>
          <w:lang w:val="en-US"/>
        </w:rPr>
        <w:t>202</w:t>
      </w:r>
      <w:r w:rsidR="00C17806" w:rsidRPr="00B5289E">
        <w:rPr>
          <w:rStyle w:val="s1"/>
          <w:b w:val="0"/>
          <w:lang w:val="en-US"/>
        </w:rPr>
        <w:t>1</w:t>
      </w:r>
    </w:p>
    <w:p w14:paraId="4FF257BF" w14:textId="77777777" w:rsidR="00BE18A7" w:rsidRPr="00B5289E" w:rsidRDefault="00BE18A7" w:rsidP="009203AF">
      <w:pPr>
        <w:ind w:firstLine="567"/>
        <w:rPr>
          <w:lang w:val="en-US"/>
        </w:rPr>
      </w:pPr>
      <w:r w:rsidRPr="00B5289E">
        <w:rPr>
          <w:rStyle w:val="s0"/>
          <w:lang w:val="en-US"/>
        </w:rPr>
        <w:t> </w:t>
      </w:r>
    </w:p>
    <w:p w14:paraId="1F1D0877" w14:textId="1B26E0A5" w:rsidR="00C17806" w:rsidRPr="00B5289E" w:rsidRDefault="00C17806" w:rsidP="009203AF">
      <w:pPr>
        <w:ind w:firstLine="567"/>
        <w:jc w:val="center"/>
        <w:rPr>
          <w:rStyle w:val="s1"/>
          <w:lang w:val="en-US"/>
        </w:rPr>
      </w:pPr>
      <w:bookmarkStart w:id="1" w:name="ContentStart"/>
      <w:bookmarkEnd w:id="1"/>
    </w:p>
    <w:p w14:paraId="3D84DAAE" w14:textId="2CC61CA7" w:rsidR="0008198B" w:rsidRPr="00B5289E" w:rsidRDefault="0008198B" w:rsidP="009203AF">
      <w:pPr>
        <w:ind w:firstLine="567"/>
        <w:jc w:val="center"/>
        <w:rPr>
          <w:rStyle w:val="s1"/>
          <w:lang w:val="en-US"/>
        </w:rPr>
      </w:pPr>
    </w:p>
    <w:p w14:paraId="078CC0E7" w14:textId="796899F3" w:rsidR="00FA6A7C" w:rsidRPr="00D0043B" w:rsidRDefault="00D0043B" w:rsidP="00223EDD">
      <w:pPr>
        <w:ind w:firstLine="567"/>
        <w:rPr>
          <w:rStyle w:val="s1"/>
          <w:lang w:val="en-US"/>
        </w:rPr>
      </w:pPr>
      <w:r>
        <w:rPr>
          <w:rStyle w:val="s1"/>
          <w:lang w:val="en-US"/>
        </w:rPr>
        <w:t>Content</w:t>
      </w:r>
    </w:p>
    <w:p w14:paraId="19C658B8" w14:textId="23D5ED6F" w:rsidR="008F7AFA" w:rsidRPr="0008198B" w:rsidRDefault="008F7AFA" w:rsidP="00CA00EB">
      <w:pPr>
        <w:ind w:firstLine="567"/>
        <w:jc w:val="both"/>
        <w:rPr>
          <w:rStyle w:val="s1"/>
          <w:b w:val="0"/>
          <w:bCs w:val="0"/>
          <w:color w:val="auto"/>
          <w:lang w:val="kk-KZ"/>
        </w:rPr>
      </w:pPr>
      <w:bookmarkStart w:id="2" w:name="ContentEnd"/>
      <w:bookmarkEnd w:id="2"/>
      <w:r w:rsidRPr="0008198B">
        <w:rPr>
          <w:rStyle w:val="s2"/>
          <w:color w:val="auto"/>
          <w:u w:val="none"/>
          <w:lang w:val="kk-KZ"/>
        </w:rPr>
        <w:t xml:space="preserve"> </w:t>
      </w:r>
    </w:p>
    <w:tbl>
      <w:tblPr>
        <w:tblStyle w:val="af1"/>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709"/>
      </w:tblGrid>
      <w:tr w:rsidR="0008198B" w:rsidRPr="00B5289E" w14:paraId="4AED5CB7" w14:textId="77777777" w:rsidTr="00E86D98">
        <w:tc>
          <w:tcPr>
            <w:tcW w:w="10201" w:type="dxa"/>
          </w:tcPr>
          <w:p w14:paraId="21B7F48C" w14:textId="12FC4826" w:rsidR="0008198B" w:rsidRPr="00D0043B" w:rsidRDefault="00B5289E" w:rsidP="00E86D98">
            <w:pPr>
              <w:pStyle w:val="ab"/>
              <w:numPr>
                <w:ilvl w:val="0"/>
                <w:numId w:val="12"/>
              </w:numPr>
              <w:rPr>
                <w:rStyle w:val="s1"/>
                <w:lang w:val="en-US"/>
              </w:rPr>
            </w:pPr>
            <w:r>
              <w:rPr>
                <w:rStyle w:val="s2"/>
                <w:color w:val="auto"/>
                <w:u w:val="none"/>
                <w:lang w:val="en-US"/>
              </w:rPr>
              <w:t>Section</w:t>
            </w:r>
            <w:r w:rsidR="00D0043B">
              <w:rPr>
                <w:rStyle w:val="s2"/>
                <w:color w:val="auto"/>
                <w:u w:val="none"/>
                <w:lang w:val="en-US"/>
              </w:rPr>
              <w:t xml:space="preserve"> </w:t>
            </w:r>
            <w:r w:rsidR="00E0062C" w:rsidRPr="00D0043B">
              <w:rPr>
                <w:rStyle w:val="s2"/>
                <w:color w:val="auto"/>
                <w:u w:val="none"/>
                <w:lang w:val="en-US"/>
              </w:rPr>
              <w:t xml:space="preserve">1. </w:t>
            </w:r>
            <w:r w:rsidR="00D0043B">
              <w:rPr>
                <w:rStyle w:val="s2"/>
                <w:color w:val="auto"/>
                <w:u w:val="none"/>
                <w:lang w:val="en-US"/>
              </w:rPr>
              <w:t>Basic terms and definitions</w:t>
            </w:r>
          </w:p>
        </w:tc>
        <w:tc>
          <w:tcPr>
            <w:tcW w:w="709" w:type="dxa"/>
          </w:tcPr>
          <w:p w14:paraId="292D539C" w14:textId="67C0D2B2" w:rsidR="0008198B" w:rsidRPr="00D0043B" w:rsidRDefault="0008198B" w:rsidP="009203AF">
            <w:pPr>
              <w:jc w:val="center"/>
              <w:rPr>
                <w:rStyle w:val="s1"/>
                <w:lang w:val="en-US"/>
              </w:rPr>
            </w:pPr>
          </w:p>
        </w:tc>
      </w:tr>
      <w:tr w:rsidR="0008198B" w14:paraId="70E36E2E" w14:textId="77777777" w:rsidTr="00E86D98">
        <w:tc>
          <w:tcPr>
            <w:tcW w:w="10201" w:type="dxa"/>
          </w:tcPr>
          <w:p w14:paraId="0F0AB88B" w14:textId="7BC2680C" w:rsidR="0008198B" w:rsidRPr="005B5AF5" w:rsidRDefault="00B5289E" w:rsidP="0008198B">
            <w:pPr>
              <w:pStyle w:val="ab"/>
              <w:numPr>
                <w:ilvl w:val="0"/>
                <w:numId w:val="12"/>
              </w:numPr>
              <w:rPr>
                <w:rStyle w:val="s1"/>
              </w:rPr>
            </w:pPr>
            <w:r>
              <w:rPr>
                <w:rStyle w:val="s2"/>
                <w:color w:val="auto"/>
                <w:u w:val="none"/>
                <w:lang w:val="en-US"/>
              </w:rPr>
              <w:t>Section</w:t>
            </w:r>
            <w:r w:rsidR="00D0043B">
              <w:rPr>
                <w:rStyle w:val="s2"/>
                <w:color w:val="auto"/>
                <w:u w:val="none"/>
                <w:lang w:val="en-US"/>
              </w:rPr>
              <w:t xml:space="preserve"> </w:t>
            </w:r>
            <w:r w:rsidR="00E0062C">
              <w:rPr>
                <w:rStyle w:val="s2"/>
                <w:color w:val="auto"/>
                <w:u w:val="none"/>
              </w:rPr>
              <w:t xml:space="preserve">2. </w:t>
            </w:r>
            <w:r w:rsidR="00D0043B">
              <w:rPr>
                <w:rStyle w:val="s2"/>
                <w:color w:val="auto"/>
                <w:u w:val="none"/>
                <w:lang w:val="en-US"/>
              </w:rPr>
              <w:t>Overview</w:t>
            </w:r>
          </w:p>
        </w:tc>
        <w:tc>
          <w:tcPr>
            <w:tcW w:w="709" w:type="dxa"/>
          </w:tcPr>
          <w:p w14:paraId="29565ABB" w14:textId="58FC110B" w:rsidR="0008198B" w:rsidRDefault="0008198B" w:rsidP="009203AF">
            <w:pPr>
              <w:jc w:val="center"/>
              <w:rPr>
                <w:rStyle w:val="s1"/>
              </w:rPr>
            </w:pPr>
          </w:p>
        </w:tc>
      </w:tr>
      <w:tr w:rsidR="0008198B" w14:paraId="241DD407" w14:textId="77777777" w:rsidTr="00E86D98">
        <w:tc>
          <w:tcPr>
            <w:tcW w:w="10201" w:type="dxa"/>
          </w:tcPr>
          <w:p w14:paraId="6006C808" w14:textId="69BDC682" w:rsidR="0008198B" w:rsidRPr="0008198B" w:rsidRDefault="00B5289E" w:rsidP="0008198B">
            <w:pPr>
              <w:pStyle w:val="ab"/>
              <w:numPr>
                <w:ilvl w:val="0"/>
                <w:numId w:val="12"/>
              </w:numPr>
              <w:rPr>
                <w:rStyle w:val="s1"/>
              </w:rPr>
            </w:pPr>
            <w:r>
              <w:rPr>
                <w:rStyle w:val="s2"/>
                <w:color w:val="auto"/>
                <w:u w:val="none"/>
                <w:lang w:val="en-US"/>
              </w:rPr>
              <w:t>Section</w:t>
            </w:r>
            <w:r w:rsidR="00D0043B">
              <w:rPr>
                <w:rStyle w:val="s2"/>
                <w:color w:val="auto"/>
                <w:u w:val="none"/>
                <w:lang w:val="en-US"/>
              </w:rPr>
              <w:t xml:space="preserve"> </w:t>
            </w:r>
            <w:r w:rsidR="00E0062C">
              <w:rPr>
                <w:rStyle w:val="s2"/>
                <w:color w:val="auto"/>
                <w:u w:val="none"/>
              </w:rPr>
              <w:t xml:space="preserve">3. </w:t>
            </w:r>
            <w:r w:rsidR="00D0043B">
              <w:rPr>
                <w:rStyle w:val="s2"/>
                <w:color w:val="auto"/>
                <w:u w:val="none"/>
                <w:lang w:val="en-US"/>
              </w:rPr>
              <w:t>Gender Policy Principles</w:t>
            </w:r>
          </w:p>
        </w:tc>
        <w:tc>
          <w:tcPr>
            <w:tcW w:w="709" w:type="dxa"/>
          </w:tcPr>
          <w:p w14:paraId="7F34B557" w14:textId="2B12CD47" w:rsidR="0008198B" w:rsidRDefault="0008198B" w:rsidP="009203AF">
            <w:pPr>
              <w:jc w:val="center"/>
              <w:rPr>
                <w:rStyle w:val="s1"/>
              </w:rPr>
            </w:pPr>
          </w:p>
        </w:tc>
      </w:tr>
      <w:tr w:rsidR="0008198B" w14:paraId="2008465E" w14:textId="77777777" w:rsidTr="00E86D98">
        <w:tc>
          <w:tcPr>
            <w:tcW w:w="10201" w:type="dxa"/>
          </w:tcPr>
          <w:p w14:paraId="275BC91E" w14:textId="223AFF91" w:rsidR="0008198B" w:rsidRPr="0008198B" w:rsidRDefault="00B5289E" w:rsidP="0008198B">
            <w:pPr>
              <w:pStyle w:val="ab"/>
              <w:numPr>
                <w:ilvl w:val="0"/>
                <w:numId w:val="12"/>
              </w:numPr>
              <w:rPr>
                <w:rStyle w:val="s1"/>
              </w:rPr>
            </w:pPr>
            <w:r>
              <w:rPr>
                <w:rStyle w:val="s2"/>
                <w:color w:val="auto"/>
                <w:u w:val="none"/>
                <w:lang w:val="en-US"/>
              </w:rPr>
              <w:t>Section</w:t>
            </w:r>
            <w:r w:rsidR="00D0043B">
              <w:rPr>
                <w:rStyle w:val="s2"/>
                <w:color w:val="auto"/>
                <w:u w:val="none"/>
                <w:lang w:val="en-US"/>
              </w:rPr>
              <w:t xml:space="preserve"> </w:t>
            </w:r>
            <w:r w:rsidR="00E0062C">
              <w:rPr>
                <w:rStyle w:val="s2"/>
                <w:color w:val="auto"/>
                <w:u w:val="none"/>
              </w:rPr>
              <w:t xml:space="preserve">4. </w:t>
            </w:r>
            <w:r w:rsidR="00D0043B">
              <w:rPr>
                <w:rStyle w:val="s2"/>
                <w:color w:val="auto"/>
                <w:u w:val="none"/>
                <w:lang w:val="en-US"/>
              </w:rPr>
              <w:t>Application area</w:t>
            </w:r>
          </w:p>
        </w:tc>
        <w:tc>
          <w:tcPr>
            <w:tcW w:w="709" w:type="dxa"/>
          </w:tcPr>
          <w:p w14:paraId="073F3CB3" w14:textId="253B80D7" w:rsidR="0008198B" w:rsidRDefault="0008198B" w:rsidP="009203AF">
            <w:pPr>
              <w:jc w:val="center"/>
              <w:rPr>
                <w:rStyle w:val="s1"/>
              </w:rPr>
            </w:pPr>
          </w:p>
        </w:tc>
      </w:tr>
      <w:tr w:rsidR="000307D9" w14:paraId="5B1E5282" w14:textId="77777777" w:rsidTr="00E86D98">
        <w:tc>
          <w:tcPr>
            <w:tcW w:w="10201" w:type="dxa"/>
          </w:tcPr>
          <w:p w14:paraId="1DE62F9E" w14:textId="46B0E679" w:rsidR="000307D9" w:rsidRPr="0008198B" w:rsidRDefault="00B5289E" w:rsidP="0008198B">
            <w:pPr>
              <w:pStyle w:val="ab"/>
              <w:numPr>
                <w:ilvl w:val="0"/>
                <w:numId w:val="12"/>
              </w:numPr>
              <w:rPr>
                <w:rStyle w:val="s2"/>
                <w:color w:val="auto"/>
                <w:u w:val="none"/>
              </w:rPr>
            </w:pPr>
            <w:r>
              <w:rPr>
                <w:rStyle w:val="s2"/>
                <w:color w:val="auto"/>
                <w:u w:val="none"/>
                <w:lang w:val="en-US"/>
              </w:rPr>
              <w:t>Section</w:t>
            </w:r>
            <w:r w:rsidR="00D0043B">
              <w:rPr>
                <w:rStyle w:val="s2"/>
                <w:color w:val="auto"/>
                <w:u w:val="none"/>
                <w:lang w:val="en-US"/>
              </w:rPr>
              <w:t xml:space="preserve"> </w:t>
            </w:r>
            <w:r w:rsidR="00E0062C">
              <w:rPr>
                <w:rStyle w:val="s2"/>
                <w:color w:val="auto"/>
                <w:u w:val="none"/>
              </w:rPr>
              <w:t xml:space="preserve">5. </w:t>
            </w:r>
            <w:r w:rsidR="00D0043B">
              <w:rPr>
                <w:rStyle w:val="s2"/>
                <w:color w:val="auto"/>
                <w:u w:val="none"/>
                <w:lang w:val="en-US"/>
              </w:rPr>
              <w:t>Reports</w:t>
            </w:r>
          </w:p>
        </w:tc>
        <w:tc>
          <w:tcPr>
            <w:tcW w:w="709" w:type="dxa"/>
          </w:tcPr>
          <w:p w14:paraId="22BD8183" w14:textId="2E9490DA" w:rsidR="000307D9" w:rsidRDefault="000307D9" w:rsidP="009203AF">
            <w:pPr>
              <w:jc w:val="center"/>
              <w:rPr>
                <w:rStyle w:val="s1"/>
              </w:rPr>
            </w:pPr>
          </w:p>
        </w:tc>
      </w:tr>
      <w:tr w:rsidR="00307FF5" w14:paraId="01C99078" w14:textId="77777777" w:rsidTr="00E86D98">
        <w:tc>
          <w:tcPr>
            <w:tcW w:w="10201" w:type="dxa"/>
          </w:tcPr>
          <w:p w14:paraId="3357960D" w14:textId="424D3532" w:rsidR="00307FF5" w:rsidRDefault="00B5289E" w:rsidP="0008198B">
            <w:pPr>
              <w:pStyle w:val="ab"/>
              <w:numPr>
                <w:ilvl w:val="0"/>
                <w:numId w:val="12"/>
              </w:numPr>
              <w:rPr>
                <w:rStyle w:val="s2"/>
                <w:color w:val="auto"/>
                <w:u w:val="none"/>
              </w:rPr>
            </w:pPr>
            <w:r>
              <w:rPr>
                <w:rStyle w:val="s2"/>
                <w:color w:val="auto"/>
                <w:u w:val="none"/>
                <w:lang w:val="en-US"/>
              </w:rPr>
              <w:t>Section</w:t>
            </w:r>
            <w:r w:rsidR="00E0062C">
              <w:rPr>
                <w:rStyle w:val="s2"/>
                <w:color w:val="auto"/>
                <w:u w:val="none"/>
              </w:rPr>
              <w:t xml:space="preserve"> 6. </w:t>
            </w:r>
            <w:r w:rsidR="00D0043B">
              <w:rPr>
                <w:rStyle w:val="s2"/>
                <w:color w:val="auto"/>
                <w:u w:val="none"/>
                <w:lang w:val="en-US"/>
              </w:rPr>
              <w:t>Engagement of consultants</w:t>
            </w:r>
          </w:p>
        </w:tc>
        <w:tc>
          <w:tcPr>
            <w:tcW w:w="709" w:type="dxa"/>
          </w:tcPr>
          <w:p w14:paraId="4224331C" w14:textId="2FAC8C03" w:rsidR="00307FF5" w:rsidRDefault="00307FF5" w:rsidP="009203AF">
            <w:pPr>
              <w:jc w:val="center"/>
              <w:rPr>
                <w:rStyle w:val="s1"/>
              </w:rPr>
            </w:pPr>
          </w:p>
        </w:tc>
      </w:tr>
      <w:tr w:rsidR="0008198B" w:rsidRPr="00B5289E" w14:paraId="1166ACEE" w14:textId="77777777" w:rsidTr="00E86D98">
        <w:tc>
          <w:tcPr>
            <w:tcW w:w="10201" w:type="dxa"/>
          </w:tcPr>
          <w:p w14:paraId="1135844E" w14:textId="069565B8" w:rsidR="0008198B" w:rsidRPr="00D0043B" w:rsidRDefault="00D0043B" w:rsidP="0008198B">
            <w:pPr>
              <w:pStyle w:val="ab"/>
              <w:numPr>
                <w:ilvl w:val="0"/>
                <w:numId w:val="12"/>
              </w:numPr>
              <w:rPr>
                <w:rStyle w:val="s2"/>
                <w:color w:val="auto"/>
                <w:u w:val="none"/>
                <w:lang w:val="en-US"/>
              </w:rPr>
            </w:pPr>
            <w:r>
              <w:rPr>
                <w:rStyle w:val="s2"/>
                <w:color w:val="auto"/>
                <w:u w:val="none"/>
                <w:lang w:val="en-US"/>
              </w:rPr>
              <w:t>Appendix</w:t>
            </w:r>
            <w:r w:rsidRPr="00D0043B">
              <w:rPr>
                <w:rStyle w:val="s2"/>
                <w:color w:val="auto"/>
                <w:u w:val="none"/>
                <w:lang w:val="en-US"/>
              </w:rPr>
              <w:t xml:space="preserve"> </w:t>
            </w:r>
            <w:r w:rsidR="0008198B" w:rsidRPr="0008198B">
              <w:rPr>
                <w:rStyle w:val="s2"/>
                <w:color w:val="auto"/>
                <w:u w:val="none"/>
                <w:lang w:val="kk-KZ"/>
              </w:rPr>
              <w:t xml:space="preserve">№1 </w:t>
            </w:r>
            <w:r w:rsidRPr="00D0043B">
              <w:rPr>
                <w:rStyle w:val="s2"/>
                <w:color w:val="auto"/>
                <w:u w:val="none"/>
                <w:lang w:val="kk-KZ"/>
              </w:rPr>
              <w:t>The Action Plan for Gender Equality</w:t>
            </w:r>
          </w:p>
        </w:tc>
        <w:tc>
          <w:tcPr>
            <w:tcW w:w="709" w:type="dxa"/>
          </w:tcPr>
          <w:p w14:paraId="4D214BD3" w14:textId="1DF14F10" w:rsidR="0008198B" w:rsidRPr="00D0043B" w:rsidRDefault="0008198B" w:rsidP="009203AF">
            <w:pPr>
              <w:jc w:val="center"/>
              <w:rPr>
                <w:rStyle w:val="s1"/>
                <w:lang w:val="en-US"/>
              </w:rPr>
            </w:pPr>
          </w:p>
        </w:tc>
      </w:tr>
    </w:tbl>
    <w:p w14:paraId="10089440" w14:textId="77777777" w:rsidR="0046192E" w:rsidRPr="00D0043B" w:rsidRDefault="0046192E" w:rsidP="009203AF">
      <w:pPr>
        <w:ind w:firstLine="567"/>
        <w:jc w:val="center"/>
        <w:rPr>
          <w:rStyle w:val="s1"/>
          <w:lang w:val="en-US"/>
        </w:rPr>
      </w:pPr>
    </w:p>
    <w:p w14:paraId="3FA16265" w14:textId="11FB391F" w:rsidR="00E86D98" w:rsidRPr="00D0043B" w:rsidRDefault="00B5289E" w:rsidP="00E86D98">
      <w:pPr>
        <w:ind w:right="-519"/>
        <w:rPr>
          <w:rStyle w:val="s0"/>
          <w:b/>
          <w:lang w:val="en-US"/>
        </w:rPr>
      </w:pPr>
      <w:r>
        <w:rPr>
          <w:rStyle w:val="s0"/>
          <w:b/>
          <w:lang w:val="en-US"/>
        </w:rPr>
        <w:t>Section</w:t>
      </w:r>
      <w:r w:rsidR="00851015" w:rsidRPr="00343D4D">
        <w:rPr>
          <w:rStyle w:val="s0"/>
          <w:b/>
          <w:lang w:val="en-US"/>
        </w:rPr>
        <w:t xml:space="preserve"> 1. </w:t>
      </w:r>
      <w:r w:rsidR="00D0043B" w:rsidRPr="00D0043B">
        <w:rPr>
          <w:rStyle w:val="s0"/>
          <w:b/>
          <w:lang w:val="en-US"/>
        </w:rPr>
        <w:t>Basic terms and definitions</w:t>
      </w:r>
    </w:p>
    <w:p w14:paraId="2D48A3A5" w14:textId="150FBC68" w:rsidR="00E86D98" w:rsidRPr="00D0043B" w:rsidRDefault="00E86D98" w:rsidP="00E86D98">
      <w:pPr>
        <w:ind w:right="-519"/>
        <w:rPr>
          <w:rStyle w:val="s0"/>
          <w:lang w:val="en-US"/>
        </w:rPr>
      </w:pPr>
      <w:r w:rsidRPr="00D0043B">
        <w:rPr>
          <w:rStyle w:val="s0"/>
          <w:lang w:val="en-US"/>
        </w:rPr>
        <w:t xml:space="preserve"> </w:t>
      </w:r>
      <w:r w:rsidR="00D0043B" w:rsidRPr="00D0043B">
        <w:rPr>
          <w:rStyle w:val="s0"/>
          <w:lang w:val="en-US"/>
        </w:rPr>
        <w:t>The Policy uses the following basic terms and definitions:</w:t>
      </w:r>
    </w:p>
    <w:p w14:paraId="56BABA72" w14:textId="77777777" w:rsidR="00E86D98" w:rsidRPr="00D0043B" w:rsidRDefault="00E86D98" w:rsidP="00E86D98">
      <w:pPr>
        <w:ind w:right="-519"/>
        <w:rPr>
          <w:rStyle w:val="s0"/>
          <w:sz w:val="10"/>
          <w:lang w:val="en-US"/>
        </w:rPr>
      </w:pPr>
    </w:p>
    <w:p w14:paraId="548F8885" w14:textId="04826BD8" w:rsidR="00E86D98" w:rsidRPr="00D0043B" w:rsidRDefault="00D0043B" w:rsidP="00E86D98">
      <w:pPr>
        <w:pStyle w:val="ab"/>
        <w:numPr>
          <w:ilvl w:val="0"/>
          <w:numId w:val="11"/>
        </w:numPr>
        <w:ind w:left="0" w:right="-519" w:firstLine="360"/>
        <w:jc w:val="both"/>
        <w:rPr>
          <w:rStyle w:val="s0"/>
          <w:strike/>
          <w:lang w:val="en-US"/>
        </w:rPr>
      </w:pPr>
      <w:r w:rsidRPr="00D0043B">
        <w:rPr>
          <w:rStyle w:val="s0"/>
          <w:b/>
          <w:bCs/>
          <w:lang w:val="en-US"/>
        </w:rPr>
        <w:t>The United Nations (UN)</w:t>
      </w:r>
      <w:r w:rsidRPr="00D0043B">
        <w:rPr>
          <w:rStyle w:val="s0"/>
          <w:lang w:val="en-US"/>
        </w:rPr>
        <w:t xml:space="preserve"> is the largest international organization whose goal is to maintain international peace and security. The UN Country Team in Kazakhstan works on a wide range of issues, including economic and social development and health, gender equality and the empowerment of women. In Kazakhstan, the UN is represented by 20 agencies, including the UN Development Program, UN Women, the UN specialized agency for education, science and culture (UNESCO).</w:t>
      </w:r>
    </w:p>
    <w:p w14:paraId="21753FBE" w14:textId="7CB994DD" w:rsidR="00E86D98" w:rsidRPr="00D0043B" w:rsidRDefault="00D0043B" w:rsidP="00E86D98">
      <w:pPr>
        <w:pStyle w:val="ab"/>
        <w:numPr>
          <w:ilvl w:val="0"/>
          <w:numId w:val="11"/>
        </w:numPr>
        <w:ind w:left="0" w:right="-519" w:firstLine="360"/>
        <w:jc w:val="both"/>
        <w:rPr>
          <w:strike/>
          <w:lang w:val="en-US"/>
        </w:rPr>
      </w:pPr>
      <w:r w:rsidRPr="00D0043B">
        <w:rPr>
          <w:b/>
          <w:bCs/>
          <w:color w:val="000000" w:themeColor="text1"/>
          <w:shd w:val="clear" w:color="auto" w:fill="FFFFFF"/>
          <w:lang w:val="en-US"/>
        </w:rPr>
        <w:t>The UN Sustainable Development Goals (SDGs)</w:t>
      </w:r>
      <w:r w:rsidRPr="00D0043B">
        <w:rPr>
          <w:color w:val="000000" w:themeColor="text1"/>
          <w:shd w:val="clear" w:color="auto" w:fill="FFFFFF"/>
          <w:lang w:val="en-US"/>
        </w:rPr>
        <w:t xml:space="preserve"> - The 2030 Agenda for Sustainable Development, adopted by the UN General Assembly in September 2015, contains an ambitious set of goals to increase economic growth and address a number of issues in education, health, social protection and employment; and the fight against climate change.</w:t>
      </w:r>
    </w:p>
    <w:p w14:paraId="2A1B254E" w14:textId="517A85A1" w:rsidR="00E86D98" w:rsidRPr="00D0043B" w:rsidRDefault="00D0043B" w:rsidP="00E86D98">
      <w:pPr>
        <w:pStyle w:val="ab"/>
        <w:numPr>
          <w:ilvl w:val="0"/>
          <w:numId w:val="11"/>
        </w:numPr>
        <w:ind w:right="-519"/>
        <w:jc w:val="both"/>
        <w:rPr>
          <w:lang w:val="en-US"/>
        </w:rPr>
      </w:pPr>
      <w:r w:rsidRPr="00D0043B">
        <w:rPr>
          <w:b/>
          <w:bCs/>
          <w:lang w:val="en-US"/>
        </w:rPr>
        <w:t>Gender</w:t>
      </w:r>
      <w:r w:rsidRPr="00D0043B">
        <w:rPr>
          <w:lang w:val="en-US"/>
        </w:rPr>
        <w:t xml:space="preserve"> is a social aspect of relations between men and women, which manifests itself in all spheres of life.</w:t>
      </w:r>
    </w:p>
    <w:p w14:paraId="6E72ED89" w14:textId="784A3946" w:rsidR="00E86D98" w:rsidRPr="00D0043B" w:rsidRDefault="00D0043B" w:rsidP="00272D2C">
      <w:pPr>
        <w:pStyle w:val="ab"/>
        <w:numPr>
          <w:ilvl w:val="0"/>
          <w:numId w:val="11"/>
        </w:numPr>
        <w:ind w:right="-519"/>
        <w:jc w:val="both"/>
        <w:rPr>
          <w:lang w:val="en-US"/>
        </w:rPr>
      </w:pPr>
      <w:r w:rsidRPr="00D0043B">
        <w:rPr>
          <w:b/>
          <w:bCs/>
          <w:lang w:val="en-US"/>
        </w:rPr>
        <w:t>Gender equality</w:t>
      </w:r>
      <w:r w:rsidRPr="00D0043B">
        <w:rPr>
          <w:lang w:val="en-US"/>
        </w:rPr>
        <w:t xml:space="preserve"> is a legal status that provides men and women with equal rights and equal opportunities and real access to participation in the political, economic, social, social and cultural spheres of life, regardless of gender.</w:t>
      </w:r>
    </w:p>
    <w:p w14:paraId="4A0F968E" w14:textId="4AC01F08" w:rsidR="00E86D98" w:rsidRPr="00D0043B" w:rsidRDefault="00D0043B" w:rsidP="00D0043B">
      <w:pPr>
        <w:pStyle w:val="ab"/>
        <w:numPr>
          <w:ilvl w:val="0"/>
          <w:numId w:val="11"/>
        </w:numPr>
        <w:ind w:right="-519"/>
        <w:jc w:val="both"/>
        <w:rPr>
          <w:lang w:val="en-US"/>
        </w:rPr>
      </w:pPr>
      <w:r w:rsidRPr="00D0043B">
        <w:rPr>
          <w:b/>
          <w:bCs/>
          <w:lang w:val="en-US"/>
        </w:rPr>
        <w:t xml:space="preserve">Project </w:t>
      </w:r>
      <w:r w:rsidRPr="00D0043B">
        <w:rPr>
          <w:lang w:val="en-US"/>
        </w:rPr>
        <w:t>- a potential or concluded transaction involving the provision of financial and non-financial support by the Fund.</w:t>
      </w:r>
    </w:p>
    <w:p w14:paraId="530FB41B" w14:textId="5E6956B1" w:rsidR="00E86D98" w:rsidRPr="00D0043B" w:rsidRDefault="00D0043B" w:rsidP="00D0043B">
      <w:pPr>
        <w:pStyle w:val="ab"/>
        <w:numPr>
          <w:ilvl w:val="0"/>
          <w:numId w:val="11"/>
        </w:numPr>
        <w:ind w:right="-519"/>
        <w:jc w:val="both"/>
        <w:rPr>
          <w:lang w:val="en-US"/>
        </w:rPr>
      </w:pPr>
      <w:r w:rsidRPr="00D0043B">
        <w:rPr>
          <w:b/>
          <w:bCs/>
          <w:lang w:val="en-US"/>
        </w:rPr>
        <w:t>Authorized body</w:t>
      </w:r>
      <w:r w:rsidRPr="00D0043B">
        <w:rPr>
          <w:lang w:val="en-US"/>
        </w:rPr>
        <w:t xml:space="preserve"> - a body that, in accordance with the legislation of the Republic of Kazakhstan, is authorized to make management decisions in the area of responsibility determined by the relevant internal documents of the Fund.</w:t>
      </w:r>
    </w:p>
    <w:p w14:paraId="1C7D4694" w14:textId="561B8ECC" w:rsidR="00E86D98" w:rsidRPr="00D0043B" w:rsidRDefault="00D0043B" w:rsidP="00D0043B">
      <w:pPr>
        <w:pStyle w:val="ab"/>
        <w:numPr>
          <w:ilvl w:val="0"/>
          <w:numId w:val="11"/>
        </w:numPr>
        <w:ind w:right="-519"/>
        <w:jc w:val="both"/>
        <w:rPr>
          <w:b/>
          <w:bCs/>
          <w:lang w:val="en-US"/>
        </w:rPr>
      </w:pPr>
      <w:r w:rsidRPr="00D0043B">
        <w:rPr>
          <w:b/>
          <w:bCs/>
          <w:lang w:val="en-US"/>
        </w:rPr>
        <w:t xml:space="preserve">Financial intermediaries - </w:t>
      </w:r>
      <w:r w:rsidRPr="00D0043B">
        <w:rPr>
          <w:lang w:val="en-US"/>
        </w:rPr>
        <w:t>second-tier banks, microfinance organizations, leasing companies, credit partnerships and other legal entities, investment funds and private equity funds.</w:t>
      </w:r>
    </w:p>
    <w:p w14:paraId="49161A6E" w14:textId="77777777" w:rsidR="00E86D98" w:rsidRPr="00D0043B" w:rsidRDefault="00E86D98" w:rsidP="00E86D98">
      <w:pPr>
        <w:ind w:right="-519"/>
        <w:rPr>
          <w:rStyle w:val="s1"/>
          <w:lang w:val="en-US"/>
        </w:rPr>
      </w:pPr>
    </w:p>
    <w:p w14:paraId="1A88585F" w14:textId="246A3FD9" w:rsidR="009203AF" w:rsidRPr="00B5289E" w:rsidRDefault="00B5289E" w:rsidP="00E86D98">
      <w:pPr>
        <w:ind w:right="-519"/>
        <w:rPr>
          <w:lang w:val="en-US"/>
        </w:rPr>
      </w:pPr>
      <w:r>
        <w:rPr>
          <w:rStyle w:val="s1"/>
          <w:lang w:val="en-US"/>
        </w:rPr>
        <w:t>Section</w:t>
      </w:r>
      <w:r w:rsidR="00BC3B49" w:rsidRPr="00B5289E">
        <w:rPr>
          <w:rStyle w:val="s1"/>
          <w:lang w:val="en-US"/>
        </w:rPr>
        <w:t xml:space="preserve"> 2. Overview</w:t>
      </w:r>
    </w:p>
    <w:p w14:paraId="265153AB" w14:textId="77777777" w:rsidR="00376358" w:rsidRPr="00376358" w:rsidRDefault="00376358" w:rsidP="00376358">
      <w:pPr>
        <w:ind w:right="-519" w:firstLine="567"/>
        <w:jc w:val="both"/>
        <w:rPr>
          <w:lang w:val="en-US"/>
        </w:rPr>
      </w:pPr>
      <w:r w:rsidRPr="00376358">
        <w:rPr>
          <w:lang w:val="en-US"/>
        </w:rPr>
        <w:t>On December 18, 1979, the UN adopted the Convention on the Elimination of All Forms of Discrimination against Women (hereinafter - the Convention). The document confirms the principle of the Universal Declaration of Human Rights in relation to equality of people, including regardless of gender.</w:t>
      </w:r>
    </w:p>
    <w:p w14:paraId="19038218" w14:textId="77777777" w:rsidR="00376358" w:rsidRPr="00376358" w:rsidRDefault="00376358" w:rsidP="00376358">
      <w:pPr>
        <w:ind w:right="-519" w:firstLine="567"/>
        <w:jc w:val="both"/>
        <w:rPr>
          <w:lang w:val="en-US"/>
        </w:rPr>
      </w:pPr>
      <w:r w:rsidRPr="00376358">
        <w:rPr>
          <w:lang w:val="en-US"/>
        </w:rPr>
        <w:t>On June 29, 1998, the Republic of Kazakhstan joined the above Convention.</w:t>
      </w:r>
    </w:p>
    <w:p w14:paraId="36A28452" w14:textId="77777777" w:rsidR="00376358" w:rsidRPr="00376358" w:rsidRDefault="00376358" w:rsidP="00376358">
      <w:pPr>
        <w:ind w:right="-519" w:firstLine="567"/>
        <w:jc w:val="both"/>
        <w:rPr>
          <w:lang w:val="en-US"/>
        </w:rPr>
      </w:pPr>
      <w:r w:rsidRPr="00376358">
        <w:rPr>
          <w:lang w:val="en-US"/>
        </w:rPr>
        <w:t>Gender equality and the empowerment of women are included in the 2030 Agenda for Sustainable Development, adopted by the UN General Assembly in September 2015.</w:t>
      </w:r>
    </w:p>
    <w:p w14:paraId="130B73DB" w14:textId="13BB2112" w:rsidR="00376358" w:rsidRPr="00376358" w:rsidRDefault="00376358" w:rsidP="00376358">
      <w:pPr>
        <w:ind w:right="-519" w:firstLine="567"/>
        <w:jc w:val="both"/>
        <w:rPr>
          <w:lang w:val="en-US"/>
        </w:rPr>
      </w:pPr>
      <w:r w:rsidRPr="00376358">
        <w:rPr>
          <w:lang w:val="en-US"/>
        </w:rPr>
        <w:t xml:space="preserve"> On December 6, 2016, by the Decree of the President of the Republic of Kazakhstan, the Concept of Family and Gender Policy until 2030 was approved.</w:t>
      </w:r>
    </w:p>
    <w:p w14:paraId="5F16B634" w14:textId="13509A81" w:rsidR="00376358" w:rsidRPr="00376358" w:rsidRDefault="00376358" w:rsidP="00376358">
      <w:pPr>
        <w:ind w:right="-519" w:firstLine="567"/>
        <w:jc w:val="both"/>
        <w:rPr>
          <w:lang w:val="en-US"/>
        </w:rPr>
      </w:pPr>
      <w:r w:rsidRPr="00376358">
        <w:rPr>
          <w:lang w:val="en-US"/>
        </w:rPr>
        <w:t xml:space="preserve">This Gender Policy of </w:t>
      </w:r>
      <w:r w:rsidR="00AA42F7">
        <w:rPr>
          <w:lang w:val="en-US"/>
        </w:rPr>
        <w:t>“</w:t>
      </w:r>
      <w:r w:rsidRPr="00376358">
        <w:rPr>
          <w:lang w:val="en-US"/>
        </w:rPr>
        <w:t>Damu</w:t>
      </w:r>
      <w:r w:rsidR="00AA42F7">
        <w:rPr>
          <w:lang w:val="en-US"/>
        </w:rPr>
        <w:t>”</w:t>
      </w:r>
      <w:r w:rsidRPr="00376358">
        <w:rPr>
          <w:lang w:val="en-US"/>
        </w:rPr>
        <w:t xml:space="preserve"> Entrepreneurship Development Fund JSC (hereinafter referred to as the Policy) was developed in order to promote gender equality in </w:t>
      </w:r>
      <w:r w:rsidR="00AA42F7">
        <w:rPr>
          <w:lang w:val="en-US"/>
        </w:rPr>
        <w:t>“</w:t>
      </w:r>
      <w:r w:rsidRPr="00376358">
        <w:rPr>
          <w:lang w:val="en-US"/>
        </w:rPr>
        <w:t>Damu</w:t>
      </w:r>
      <w:r w:rsidR="00AA42F7">
        <w:rPr>
          <w:lang w:val="en-US"/>
        </w:rPr>
        <w:t>”</w:t>
      </w:r>
      <w:r w:rsidRPr="00376358">
        <w:rPr>
          <w:lang w:val="en-US"/>
        </w:rPr>
        <w:t xml:space="preserve"> Entrepreneurship Development Fund JSC (hereinafter the Fund), in accordance with the Constitution of the Republic of Kazakhstan, </w:t>
      </w:r>
      <w:r w:rsidR="00343D4D">
        <w:rPr>
          <w:lang w:val="en-US"/>
        </w:rPr>
        <w:t>“</w:t>
      </w:r>
      <w:r w:rsidRPr="00376358">
        <w:rPr>
          <w:lang w:val="en-US"/>
        </w:rPr>
        <w:t>the Law of the Republic of Kazakhstan guarantees of equal rights and equal opportunities for men and women"</w:t>
      </w:r>
      <w:r w:rsidR="00343D4D">
        <w:rPr>
          <w:lang w:val="en-US"/>
        </w:rPr>
        <w:t>. “T</w:t>
      </w:r>
      <w:r w:rsidRPr="00376358">
        <w:rPr>
          <w:lang w:val="en-US"/>
        </w:rPr>
        <w:t xml:space="preserve">he Law of the Republic of Kazakhstan" </w:t>
      </w:r>
      <w:r w:rsidR="00343D4D">
        <w:rPr>
          <w:lang w:val="en-US"/>
        </w:rPr>
        <w:t>o</w:t>
      </w:r>
      <w:r w:rsidRPr="00376358">
        <w:rPr>
          <w:lang w:val="en-US"/>
        </w:rPr>
        <w:t xml:space="preserve">n the accession of the Republic of Kazakhstan to </w:t>
      </w:r>
      <w:r w:rsidR="00343D4D">
        <w:rPr>
          <w:lang w:val="en-US"/>
        </w:rPr>
        <w:t>“</w:t>
      </w:r>
      <w:r w:rsidRPr="00376358">
        <w:rPr>
          <w:lang w:val="en-US"/>
        </w:rPr>
        <w:t xml:space="preserve">the Convention on the Elimination of All Forms </w:t>
      </w:r>
      <w:r w:rsidRPr="00376358">
        <w:rPr>
          <w:lang w:val="en-US"/>
        </w:rPr>
        <w:lastRenderedPageBreak/>
        <w:t>of Discrimination against Women", the Concept of Family and Gender Policy of the Republic of Kazakhstan until 2030 and the Charter of the Fund.</w:t>
      </w:r>
    </w:p>
    <w:p w14:paraId="00F31583" w14:textId="0558C967" w:rsidR="00376358" w:rsidRPr="00376358" w:rsidRDefault="00376358" w:rsidP="00376358">
      <w:pPr>
        <w:ind w:right="-519" w:firstLine="567"/>
        <w:jc w:val="both"/>
        <w:rPr>
          <w:rStyle w:val="s0"/>
          <w:lang w:val="en-US"/>
        </w:rPr>
      </w:pPr>
      <w:r w:rsidRPr="00376358">
        <w:rPr>
          <w:lang w:val="en-US"/>
        </w:rPr>
        <w:t>Despite the fact that Kazakhstan has taken measures to achieve gender equality at the legislative level, according to the ranking of countries in the world according to the 2020 Gender Gap Index of the World Economic Forum, research on the integral indicator of gender equality, out of 153 countries, Kazakhstan ranks 72nd.</w:t>
      </w:r>
    </w:p>
    <w:p w14:paraId="574950F7" w14:textId="7F79F37F" w:rsidR="00376358" w:rsidRPr="00376358" w:rsidRDefault="00376358" w:rsidP="00E86D98">
      <w:pPr>
        <w:ind w:right="-519" w:firstLine="567"/>
        <w:jc w:val="both"/>
        <w:rPr>
          <w:rStyle w:val="s0"/>
          <w:lang w:val="en-US"/>
        </w:rPr>
      </w:pPr>
      <w:r w:rsidRPr="00376358">
        <w:rPr>
          <w:lang w:val="en-US"/>
        </w:rPr>
        <w:t>One of the main factors of sustainable human development is the achievement of gender equality. Women do not enjoy the same status, power, or access to and control over resources as men. The principles of equality and social justice require modern society to work to ensure that everyone has an equal opportunity to express and use their potential. The link between improving gender equality and accelerating economic development is widely recognized around the world by leading international financial institutions. Recognizing this, the Foundation is committed to channeling efforts and resources towards creating a society that values ​​women and men equally.</w:t>
      </w:r>
    </w:p>
    <w:p w14:paraId="0D3134F7" w14:textId="65BE2819" w:rsidR="00376358" w:rsidRPr="00376358" w:rsidRDefault="00376358" w:rsidP="00E86D98">
      <w:pPr>
        <w:ind w:right="-519" w:firstLine="567"/>
        <w:jc w:val="both"/>
        <w:rPr>
          <w:rStyle w:val="s0"/>
          <w:lang w:val="en-US"/>
        </w:rPr>
      </w:pPr>
      <w:r w:rsidRPr="00376358">
        <w:rPr>
          <w:rStyle w:val="s0"/>
          <w:lang w:val="en-US"/>
        </w:rPr>
        <w:t xml:space="preserve">According to the World Economic Forum (WEF) </w:t>
      </w:r>
      <w:r w:rsidRPr="00343D4D">
        <w:rPr>
          <w:rStyle w:val="s0"/>
          <w:i/>
          <w:iCs/>
          <w:lang w:val="en-US"/>
        </w:rPr>
        <w:t>Gender Gap Report 2020</w:t>
      </w:r>
      <w:r w:rsidRPr="00376358">
        <w:rPr>
          <w:rStyle w:val="s0"/>
          <w:lang w:val="en-US"/>
        </w:rPr>
        <w:t>, an international non-governmental organization, given the current pace of progress, it will take another hundred years to achieve gender equality. This forecast serves as a motivation for action by governments, NGOs, associations, investors and businesses. In addition, in light of the COVID-19 pandemic and the deteriorating economic situation in the world, more efforts are needed to achieve gender equality. Based on past experience, the economic downturn is not only disproportionately affecting women, it is pushing gender equality issues off the agenda of governments and corporations. Women make up 39% of the total workforce according to World Bank data for 2020, but as of May 2020, they were responsible for 54% of job losses according to a Harvard Business School study. In addition, women are most represented in the sectors hardest hit by the pandemic, such as hospitality and catering, further exacerbating inequalities.</w:t>
      </w:r>
    </w:p>
    <w:p w14:paraId="56CD1B9B" w14:textId="77777777" w:rsidR="00376358" w:rsidRPr="00376358" w:rsidRDefault="00376358" w:rsidP="00376358">
      <w:pPr>
        <w:ind w:right="-519" w:firstLine="567"/>
        <w:jc w:val="both"/>
        <w:rPr>
          <w:rStyle w:val="s0"/>
          <w:lang w:val="en-US"/>
        </w:rPr>
      </w:pPr>
      <w:r w:rsidRPr="00376358">
        <w:rPr>
          <w:rStyle w:val="s0"/>
          <w:lang w:val="en-US"/>
        </w:rPr>
        <w:t>The Foundation cooperates with a number of international and foreign organizations, whose experience shows that the use of gender-sensitive approaches is important and contributes to the sustainable development of the country's economy. Moreover, many financial institutions are already announcing their readiness to support organizations with an approved Gender Policy, such as the Green Climate Fund and the European Investment Bank and many others.</w:t>
      </w:r>
    </w:p>
    <w:p w14:paraId="15A8F163" w14:textId="77777777" w:rsidR="00376358" w:rsidRPr="00376358" w:rsidRDefault="00376358" w:rsidP="00376358">
      <w:pPr>
        <w:ind w:right="-519" w:firstLine="567"/>
        <w:jc w:val="both"/>
        <w:rPr>
          <w:rStyle w:val="s0"/>
          <w:lang w:val="en-US"/>
        </w:rPr>
      </w:pPr>
      <w:r w:rsidRPr="00376358">
        <w:rPr>
          <w:rStyle w:val="s0"/>
          <w:lang w:val="en-US"/>
        </w:rPr>
        <w:t>According to the Committee on Statistics of the Republic of Kazakhstan, as of 01.01. 2020, the population of Kazakhstan was 18.6 million people, the female population is 52%.</w:t>
      </w:r>
    </w:p>
    <w:p w14:paraId="05A263A4" w14:textId="0D4121E8" w:rsidR="00376358" w:rsidRPr="00376358" w:rsidRDefault="00376358" w:rsidP="00376358">
      <w:pPr>
        <w:ind w:right="-519" w:firstLine="567"/>
        <w:jc w:val="both"/>
        <w:rPr>
          <w:rStyle w:val="s0"/>
          <w:lang w:val="en-US"/>
        </w:rPr>
      </w:pPr>
      <w:r w:rsidRPr="00376358">
        <w:rPr>
          <w:rStyle w:val="s0"/>
          <w:lang w:val="en-US"/>
        </w:rPr>
        <w:t>As of 01.01.2020, the number of people employed in SMEs in the country is 3.4 million tenge, i.e. approximately 18% of the total population. Of this number, the number of employed in SMEs headed by women is 31%. Every year this indicator is growing moderately, since 2016 the number of women entrepreneurs employed in the subjects has increased by 8%. At the same time, women make up 49% of the employed population, and the contribution of women to the country's GDP is estimated at 39%.</w:t>
      </w:r>
    </w:p>
    <w:p w14:paraId="26E4E1DF" w14:textId="579CDBF7" w:rsidR="00376358" w:rsidRPr="00376358" w:rsidRDefault="00376358" w:rsidP="00E86D98">
      <w:pPr>
        <w:ind w:right="-519" w:firstLine="567"/>
        <w:jc w:val="both"/>
        <w:rPr>
          <w:rStyle w:val="s0"/>
          <w:lang w:val="en-US"/>
        </w:rPr>
      </w:pPr>
      <w:r w:rsidRPr="00376358">
        <w:rPr>
          <w:rStyle w:val="s0"/>
          <w:lang w:val="en-US"/>
        </w:rPr>
        <w:t>The policy was developed in accordance with the requirements of the Asian Development Bank, in order to comply with the terms of the Project for Financing Sustainable Development of Micro, Small and Medium Businesses, in which the Fund participated to provide additional access to financing for micro, small and medium-sized enterprises (hereinafter - MSME). The 4th tranche of the ADB Project was aimed at lending to the regions of Kazakhstan and women entrepreneurs and showed good results: in the period from January 2018 to November 2020, 40 thousand projects worth 107 billion tenge were financed from ADB funds. 55% of loans were issued to women entrepreneurs. Most of the loans were issued in Turkestan, Zhambyl, Kyzylorda regions and the city of Nur-Sultan. At the same time, from 2011 to 2020, at the expense of the entire ADB Project (tranches 1,2,3,4), 20 thousand women entrepreneurs were supported in the amount of more than 95 billion tenge.</w:t>
      </w:r>
    </w:p>
    <w:p w14:paraId="360ABF7F" w14:textId="77777777" w:rsidR="00376358" w:rsidRPr="00376358" w:rsidRDefault="00376358" w:rsidP="00376358">
      <w:pPr>
        <w:ind w:right="-519" w:firstLine="567"/>
        <w:jc w:val="both"/>
        <w:rPr>
          <w:rStyle w:val="s0"/>
          <w:lang w:val="en-US"/>
        </w:rPr>
      </w:pPr>
      <w:r w:rsidRPr="00376358">
        <w:rPr>
          <w:rStyle w:val="s0"/>
          <w:lang w:val="en-US"/>
        </w:rPr>
        <w:t>According to other support programs of the Fund, as of 01.01.2021, the number of entrepreneurs among women in Kazakhstan is also quite significant. In 2015, under the guarantee of the Fund, the European Bank for Reconstruction and Development opened 2 credit lines, one of which was aimed exclusively at the development of women entrepreneurs. As a result of the project, more than 13 thousand projects worth 27.1 billion tenge were supported through second-tier banks and microfinance organizations.</w:t>
      </w:r>
    </w:p>
    <w:p w14:paraId="4E243E39" w14:textId="556129A0" w:rsidR="00376358" w:rsidRPr="00376358" w:rsidRDefault="00376358" w:rsidP="00376358">
      <w:pPr>
        <w:ind w:right="-519" w:firstLine="567"/>
        <w:jc w:val="both"/>
        <w:rPr>
          <w:rStyle w:val="s0"/>
          <w:lang w:val="en-US"/>
        </w:rPr>
      </w:pPr>
      <w:r w:rsidRPr="00376358">
        <w:rPr>
          <w:rStyle w:val="s0"/>
          <w:lang w:val="en-US"/>
        </w:rPr>
        <w:lastRenderedPageBreak/>
        <w:t xml:space="preserve">Under the State Program for Support and Development of Business </w:t>
      </w:r>
      <w:r w:rsidRPr="00D42006">
        <w:rPr>
          <w:rStyle w:val="s0"/>
          <w:i/>
          <w:iCs/>
          <w:lang w:val="en-US"/>
        </w:rPr>
        <w:t>"Business Road Map-2025"</w:t>
      </w:r>
      <w:r w:rsidRPr="00376358">
        <w:rPr>
          <w:rStyle w:val="s0"/>
          <w:lang w:val="en-US"/>
        </w:rPr>
        <w:t>, 18 thousand projects were supported for a subsidy instrument for a total amount of loans of 3.1 trillion. tenge, of which 34% of projects belong to women entrepreneurs. Under this program, guarantees were provided to 13.3 thousand projects for a total amount of loans of 468 billion tenge. Of these, 34% were granted guarantees to women entrepreneurs.</w:t>
      </w:r>
    </w:p>
    <w:p w14:paraId="106B231F" w14:textId="4620E2F3" w:rsidR="00376358" w:rsidRPr="00376358" w:rsidRDefault="00376358" w:rsidP="00E86D98">
      <w:pPr>
        <w:ind w:right="-519" w:firstLine="567"/>
        <w:jc w:val="both"/>
        <w:rPr>
          <w:rStyle w:val="s0"/>
          <w:lang w:val="en-US"/>
        </w:rPr>
      </w:pPr>
      <w:r w:rsidRPr="00376358">
        <w:rPr>
          <w:rStyle w:val="s0"/>
          <w:lang w:val="en-US"/>
        </w:rPr>
        <w:t xml:space="preserve">Under the </w:t>
      </w:r>
      <w:r w:rsidR="005F2445">
        <w:rPr>
          <w:rStyle w:val="s0"/>
          <w:lang w:val="en-US"/>
        </w:rPr>
        <w:t>“</w:t>
      </w:r>
      <w:r w:rsidRPr="00376358">
        <w:rPr>
          <w:rStyle w:val="s0"/>
          <w:lang w:val="en-US"/>
        </w:rPr>
        <w:t>Nurly Zher</w:t>
      </w:r>
      <w:r w:rsidR="005F2445">
        <w:rPr>
          <w:rStyle w:val="s0"/>
          <w:lang w:val="en-US"/>
        </w:rPr>
        <w:t>”</w:t>
      </w:r>
      <w:r w:rsidRPr="00376358">
        <w:rPr>
          <w:rStyle w:val="s0"/>
          <w:lang w:val="en-US"/>
        </w:rPr>
        <w:t xml:space="preserve"> State Housing Construction Program, 127 projects worth 127 billion tenge were supported under the subsidy instrument, 6% of them were projects of women entrepreneurs worth 14.6 billion tenge. Under the UNDP-GEF program and the Government of Kazakhstan, a total of 38 projects were supported in the amount of 2.6 billion tenge, 10% of them are projects of women entrepreneurs, the amount of support for which is 132 million tenge.</w:t>
      </w:r>
    </w:p>
    <w:p w14:paraId="4D38508A" w14:textId="77777777" w:rsidR="00376358" w:rsidRPr="00376358" w:rsidRDefault="00376358" w:rsidP="00376358">
      <w:pPr>
        <w:ind w:right="-519" w:firstLine="567"/>
        <w:jc w:val="both"/>
        <w:rPr>
          <w:rStyle w:val="s0"/>
          <w:lang w:val="en-US"/>
        </w:rPr>
      </w:pPr>
      <w:r w:rsidRPr="00376358">
        <w:rPr>
          <w:rStyle w:val="s0"/>
          <w:lang w:val="en-US"/>
        </w:rPr>
        <w:t>On the Priority Projects Crediting Mechanism ("The Economy of Simple Things"):</w:t>
      </w:r>
    </w:p>
    <w:p w14:paraId="04769A60" w14:textId="77777777" w:rsidR="00376358" w:rsidRPr="00376358" w:rsidRDefault="00376358" w:rsidP="00376358">
      <w:pPr>
        <w:ind w:right="-519" w:firstLine="567"/>
        <w:jc w:val="both"/>
        <w:rPr>
          <w:rStyle w:val="s0"/>
          <w:lang w:val="en-US"/>
        </w:rPr>
      </w:pPr>
      <w:r w:rsidRPr="00376358">
        <w:rPr>
          <w:rStyle w:val="s0"/>
          <w:lang w:val="en-US"/>
        </w:rPr>
        <w:t>- 557 projects were supported under the subsidy instrument for the amount of 392 billion tenge, of which 88 billion tenge was allocated to support 32% of projects of women entrepreneurs;</w:t>
      </w:r>
    </w:p>
    <w:p w14:paraId="550CF8FD" w14:textId="683BD23C" w:rsidR="00376358" w:rsidRPr="00376358" w:rsidRDefault="00376358" w:rsidP="00376358">
      <w:pPr>
        <w:ind w:right="-519" w:firstLine="567"/>
        <w:jc w:val="both"/>
        <w:rPr>
          <w:rStyle w:val="s0"/>
          <w:lang w:val="en-US"/>
        </w:rPr>
      </w:pPr>
      <w:r w:rsidRPr="00376358">
        <w:rPr>
          <w:rStyle w:val="s0"/>
          <w:lang w:val="en-US"/>
        </w:rPr>
        <w:t xml:space="preserve">- under the guarantee instrument, 210 projects were supported for 53.5 billion tenge, of which 30% were projects of women entrepreneurs, with the </w:t>
      </w:r>
      <w:r w:rsidR="00761939" w:rsidRPr="00376358">
        <w:rPr>
          <w:rStyle w:val="s0"/>
          <w:lang w:val="en-US"/>
        </w:rPr>
        <w:t>number</w:t>
      </w:r>
      <w:r w:rsidRPr="00376358">
        <w:rPr>
          <w:rStyle w:val="s0"/>
          <w:lang w:val="en-US"/>
        </w:rPr>
        <w:t xml:space="preserve"> of guarantees provided to 6 billion tenge.</w:t>
      </w:r>
    </w:p>
    <w:p w14:paraId="244488AF" w14:textId="6DB8F0E0" w:rsidR="00376358" w:rsidRPr="00376358" w:rsidRDefault="00376358" w:rsidP="00376358">
      <w:pPr>
        <w:ind w:right="-519" w:firstLine="567"/>
        <w:jc w:val="both"/>
        <w:rPr>
          <w:rStyle w:val="s0"/>
          <w:lang w:val="en-US"/>
        </w:rPr>
      </w:pPr>
      <w:r w:rsidRPr="00376358">
        <w:rPr>
          <w:rStyle w:val="s0"/>
          <w:lang w:val="en-US"/>
        </w:rPr>
        <w:t xml:space="preserve">Within the framework of the State Program for the Development of Productive Employment and Mass Entrepreneurship for 2017-2021, </w:t>
      </w:r>
      <w:r w:rsidRPr="005A6C0D">
        <w:rPr>
          <w:rStyle w:val="s0"/>
          <w:i/>
          <w:iCs/>
          <w:lang w:val="en-US"/>
        </w:rPr>
        <w:t>Enbek</w:t>
      </w:r>
      <w:r w:rsidRPr="00376358">
        <w:rPr>
          <w:rStyle w:val="s0"/>
          <w:lang w:val="en-US"/>
        </w:rPr>
        <w:t xml:space="preserve"> provided guarantees to 1,640 projects in the amount of 19 billion tenge, of which guarantees were provided to 46% of projects of women entrepreneurs in the amount of 8.8 billion tenge.</w:t>
      </w:r>
    </w:p>
    <w:p w14:paraId="74843B2D" w14:textId="77777777" w:rsidR="00376358" w:rsidRPr="00376358" w:rsidRDefault="00376358" w:rsidP="00376358">
      <w:pPr>
        <w:ind w:right="-519" w:firstLine="567"/>
        <w:jc w:val="both"/>
        <w:rPr>
          <w:rStyle w:val="s0"/>
          <w:lang w:val="en-US"/>
        </w:rPr>
      </w:pPr>
      <w:r w:rsidRPr="00376358">
        <w:rPr>
          <w:rStyle w:val="s0"/>
          <w:lang w:val="en-US"/>
        </w:rPr>
        <w:t xml:space="preserve">Within the framework of the Fund's own program, the </w:t>
      </w:r>
      <w:r w:rsidRPr="005A6C0D">
        <w:rPr>
          <w:rStyle w:val="s0"/>
          <w:i/>
          <w:iCs/>
          <w:lang w:val="en-US"/>
        </w:rPr>
        <w:t>Damu-Optima</w:t>
      </w:r>
      <w:r w:rsidRPr="00376358">
        <w:rPr>
          <w:rStyle w:val="s0"/>
          <w:lang w:val="en-US"/>
        </w:rPr>
        <w:t xml:space="preserve"> Guarantee Program, guarantees were provided to 682 projects worth 38 billion tenge, 20% of which belong to women entrepreneurs, whose guarantees were provided in the amount of 5.5 billion tenge.</w:t>
      </w:r>
    </w:p>
    <w:p w14:paraId="24067BCB" w14:textId="0FDF2FCD" w:rsidR="00376358" w:rsidRPr="00376358" w:rsidRDefault="00376358" w:rsidP="00376358">
      <w:pPr>
        <w:ind w:right="-519" w:firstLine="567"/>
        <w:jc w:val="both"/>
        <w:rPr>
          <w:rStyle w:val="s0"/>
          <w:lang w:val="en-US"/>
        </w:rPr>
      </w:pPr>
      <w:r w:rsidRPr="00376358">
        <w:rPr>
          <w:rStyle w:val="s0"/>
          <w:lang w:val="en-US"/>
        </w:rPr>
        <w:t>Given the indicators of activity among women entrepreneurs, the Fund intends to continue funding MSMEs in the regions and to promote women's entrepreneurship in Kazakhstan. To this end, the Fund will strengthen cooperation with international organizations and continue to promote the implementation of the UN Sustainable Development Goals in Kazakhstan, thereby increasing investment attractiveness for attracting additional sources of funding for programs for the development of MSMEs in Kazakhstan.</w:t>
      </w:r>
    </w:p>
    <w:p w14:paraId="3A26B22C" w14:textId="18A7F890" w:rsidR="00376358" w:rsidRPr="00376358" w:rsidRDefault="00376358" w:rsidP="00E86D98">
      <w:pPr>
        <w:ind w:right="-519" w:firstLine="567"/>
        <w:jc w:val="both"/>
        <w:rPr>
          <w:rStyle w:val="s0"/>
          <w:lang w:val="en-US"/>
        </w:rPr>
      </w:pPr>
      <w:r w:rsidRPr="00376358">
        <w:rPr>
          <w:rStyle w:val="s0"/>
          <w:lang w:val="en-US"/>
        </w:rPr>
        <w:t>In November 2020, Kazakhstan was elected to the executive board of UN-Women. A year earlier, UN Women headquarters had agreed on the Fund's Statement of Support for the Principles for the Empowerment of Women. The UN Women Principles have been signed by more than 2,000 companies worldwide, including Google, Citigroup Inc, Nasdaq, PwC, Ernst &amp; Young and Coca-Cola. In Kazakhstan, UN-Women works in partnership with the Government to promote gender equality. The partners are the National Commission on Women Affairs and Family and Demographic Policy under the President of the Republic of Kazakhstan, the Ministry of Foreign Affairs of the Republic of Kazakhstan, the Ministry of National Economy of the Republic of Kazakhstan, the Ministry of Labor and Social Protection of the Population of the Republic of Kazakhstan, civil society organizations, as well as signatory companies of the Principles for the Empowerment of Women".</w:t>
      </w:r>
    </w:p>
    <w:p w14:paraId="728D20C7" w14:textId="5C1879E1" w:rsidR="00376358" w:rsidRPr="00376358" w:rsidRDefault="00376358" w:rsidP="00E86D98">
      <w:pPr>
        <w:ind w:right="-519" w:firstLine="567"/>
        <w:jc w:val="both"/>
        <w:rPr>
          <w:rStyle w:val="s0"/>
          <w:lang w:val="en-US"/>
        </w:rPr>
      </w:pPr>
      <w:r w:rsidRPr="00376358">
        <w:rPr>
          <w:rStyle w:val="s0"/>
          <w:lang w:val="en-US"/>
        </w:rPr>
        <w:t>The Fund maintains gender parity among staff. For example, in 2020 the total number of employees of the Fund was 380, among them the actual number of women was 47% (45% in 2017, 52% in 2018, 50% in 2019). In this regard, the Fund notes the need to continue to maintain the achievement of equal gender representation among employees.</w:t>
      </w:r>
    </w:p>
    <w:p w14:paraId="3FCD0625" w14:textId="3FC7E1D3" w:rsidR="005B5AF5" w:rsidRPr="00376358" w:rsidRDefault="005B5AF5" w:rsidP="00E86D98">
      <w:pPr>
        <w:ind w:right="-519"/>
        <w:rPr>
          <w:lang w:val="en-US"/>
        </w:rPr>
      </w:pPr>
    </w:p>
    <w:p w14:paraId="27AB49A2" w14:textId="77777777" w:rsidR="00CB649A" w:rsidRPr="00343D4D" w:rsidRDefault="00CB649A" w:rsidP="00E86D98">
      <w:pPr>
        <w:ind w:right="-519"/>
        <w:rPr>
          <w:rStyle w:val="s0"/>
          <w:b/>
          <w:lang w:val="en-US"/>
        </w:rPr>
      </w:pPr>
    </w:p>
    <w:p w14:paraId="6F774048" w14:textId="3CA45644" w:rsidR="00BD03D1" w:rsidRPr="00B5289E" w:rsidRDefault="00B5289E" w:rsidP="00E86D98">
      <w:pPr>
        <w:ind w:right="-519"/>
        <w:rPr>
          <w:rStyle w:val="s0"/>
          <w:b/>
          <w:lang w:val="en-US"/>
        </w:rPr>
      </w:pPr>
      <w:r>
        <w:rPr>
          <w:rStyle w:val="s0"/>
          <w:b/>
          <w:lang w:val="en-US"/>
        </w:rPr>
        <w:t>Section</w:t>
      </w:r>
      <w:r w:rsidR="00CB649A" w:rsidRPr="00B5289E">
        <w:rPr>
          <w:rStyle w:val="s0"/>
          <w:b/>
          <w:lang w:val="en-US"/>
        </w:rPr>
        <w:t xml:space="preserve"> 3. Gender Policy Principles</w:t>
      </w:r>
    </w:p>
    <w:p w14:paraId="4552BED1" w14:textId="71B88113" w:rsidR="0002383C" w:rsidRPr="00376358" w:rsidRDefault="00376358" w:rsidP="00E86D98">
      <w:pPr>
        <w:ind w:right="-519" w:firstLine="397"/>
        <w:jc w:val="both"/>
        <w:rPr>
          <w:rStyle w:val="s0"/>
          <w:lang w:val="en-US"/>
        </w:rPr>
      </w:pPr>
      <w:r w:rsidRPr="00376358">
        <w:rPr>
          <w:rStyle w:val="s0"/>
          <w:lang w:val="en-US"/>
        </w:rPr>
        <w:t>The Foundation recognizes that gender equality contributes to inclusive economic growth and strives for gender equity.</w:t>
      </w:r>
    </w:p>
    <w:p w14:paraId="0999C2BE" w14:textId="63FB9764" w:rsidR="00376358" w:rsidRPr="00376358" w:rsidRDefault="00CD5CBD" w:rsidP="00AC4F3C">
      <w:pPr>
        <w:ind w:right="-519" w:firstLine="397"/>
        <w:jc w:val="both"/>
        <w:rPr>
          <w:rStyle w:val="s0"/>
          <w:lang w:val="en-US"/>
        </w:rPr>
      </w:pPr>
      <w:r w:rsidRPr="0008198B">
        <w:rPr>
          <w:rStyle w:val="s0"/>
          <w:lang w:val="kk-KZ"/>
        </w:rPr>
        <w:t xml:space="preserve"> </w:t>
      </w:r>
      <w:r w:rsidR="00AC4F3C">
        <w:rPr>
          <w:rStyle w:val="s0"/>
          <w:lang w:val="kk-KZ"/>
        </w:rPr>
        <w:tab/>
      </w:r>
      <w:r w:rsidR="00376358" w:rsidRPr="00376358">
        <w:rPr>
          <w:rStyle w:val="s0"/>
          <w:lang w:val="en-US"/>
        </w:rPr>
        <w:t>The Fund's gender policy is in line with the SDGs, which contain a clear commitment to gender equality and the empowerment of women.</w:t>
      </w:r>
    </w:p>
    <w:p w14:paraId="6AD0A0CD" w14:textId="77777777" w:rsidR="00376358" w:rsidRPr="00376358" w:rsidRDefault="00376358" w:rsidP="00376358">
      <w:pPr>
        <w:ind w:right="-519" w:firstLine="708"/>
        <w:rPr>
          <w:rStyle w:val="s0"/>
          <w:lang w:val="en-US"/>
        </w:rPr>
      </w:pPr>
      <w:r w:rsidRPr="00376358">
        <w:rPr>
          <w:rStyle w:val="s0"/>
          <w:lang w:val="en-US"/>
        </w:rPr>
        <w:t>The Foundation undertakes to take into account, analyze and address gender issues when planning, implementing and evaluating internal regulations, projects and research in order to achieve the following goals:</w:t>
      </w:r>
    </w:p>
    <w:p w14:paraId="60B5D800" w14:textId="77777777" w:rsidR="00376358" w:rsidRPr="00376358" w:rsidRDefault="00376358" w:rsidP="00376358">
      <w:pPr>
        <w:ind w:right="-519" w:firstLine="708"/>
        <w:rPr>
          <w:rStyle w:val="s0"/>
          <w:lang w:val="en-US"/>
        </w:rPr>
      </w:pPr>
      <w:r w:rsidRPr="00376358">
        <w:rPr>
          <w:rStyle w:val="s0"/>
          <w:lang w:val="en-US"/>
        </w:rPr>
        <w:t>• promoting equality between women and men;</w:t>
      </w:r>
    </w:p>
    <w:p w14:paraId="3B2C57D5" w14:textId="77777777" w:rsidR="00376358" w:rsidRPr="00376358" w:rsidRDefault="00376358" w:rsidP="00376358">
      <w:pPr>
        <w:ind w:right="-519" w:firstLine="708"/>
        <w:rPr>
          <w:rStyle w:val="s0"/>
          <w:lang w:val="en-US"/>
        </w:rPr>
      </w:pPr>
      <w:r w:rsidRPr="00376358">
        <w:rPr>
          <w:rStyle w:val="s0"/>
          <w:lang w:val="en-US"/>
        </w:rPr>
        <w:lastRenderedPageBreak/>
        <w:t>• collection of quality information, taking into account the separation of data by sex;</w:t>
      </w:r>
    </w:p>
    <w:p w14:paraId="0DF982FC" w14:textId="2F326C6F" w:rsidR="00DB5CA1" w:rsidRPr="00376358" w:rsidRDefault="00376358" w:rsidP="00376358">
      <w:pPr>
        <w:ind w:left="708" w:right="-519"/>
        <w:rPr>
          <w:rStyle w:val="s0"/>
          <w:lang w:val="en-US"/>
        </w:rPr>
      </w:pPr>
      <w:r w:rsidRPr="00376358">
        <w:rPr>
          <w:rStyle w:val="s0"/>
          <w:lang w:val="en-US"/>
        </w:rPr>
        <w:t>• creating a social, physical and psychological environment that promotes equal treatment of men and women at work.</w:t>
      </w:r>
    </w:p>
    <w:p w14:paraId="2E08DD06" w14:textId="77777777" w:rsidR="00376358" w:rsidRPr="00343D4D" w:rsidRDefault="00376358" w:rsidP="00E86D98">
      <w:pPr>
        <w:ind w:right="-519"/>
        <w:rPr>
          <w:rStyle w:val="s0"/>
          <w:b/>
          <w:lang w:val="en-US"/>
        </w:rPr>
      </w:pPr>
    </w:p>
    <w:p w14:paraId="7C0800B1" w14:textId="7590B00C" w:rsidR="007E6324" w:rsidRPr="00B5289E" w:rsidRDefault="00B5289E" w:rsidP="00E86D98">
      <w:pPr>
        <w:ind w:right="-519"/>
        <w:rPr>
          <w:rStyle w:val="s0"/>
          <w:b/>
          <w:lang w:val="en-US"/>
        </w:rPr>
      </w:pPr>
      <w:r>
        <w:rPr>
          <w:rStyle w:val="s0"/>
          <w:b/>
          <w:lang w:val="en-US"/>
        </w:rPr>
        <w:t>Section</w:t>
      </w:r>
      <w:r w:rsidR="00CB649A" w:rsidRPr="00B5289E">
        <w:rPr>
          <w:rStyle w:val="s0"/>
          <w:b/>
          <w:lang w:val="en-US"/>
        </w:rPr>
        <w:t xml:space="preserve"> 4. Application area</w:t>
      </w:r>
    </w:p>
    <w:p w14:paraId="201F0223" w14:textId="77777777" w:rsidR="00AC4F3C" w:rsidRPr="00AC4F3C" w:rsidRDefault="00AC4F3C" w:rsidP="00AC4F3C">
      <w:pPr>
        <w:ind w:right="-519" w:firstLine="708"/>
        <w:jc w:val="both"/>
        <w:rPr>
          <w:rStyle w:val="s0"/>
          <w:bCs/>
          <w:lang w:val="en-US"/>
        </w:rPr>
      </w:pPr>
      <w:r w:rsidRPr="00AC4F3C">
        <w:rPr>
          <w:rStyle w:val="s0"/>
          <w:bCs/>
          <w:lang w:val="en-US"/>
        </w:rPr>
        <w:t>The Foundation seeks to contribute to the achievement of the goals of gender equality and the empowerment of women in work aimed at sustainable institutional development of the Foundation, as well as supporting and developing entrepreneurs:</w:t>
      </w:r>
    </w:p>
    <w:p w14:paraId="3765ADCF" w14:textId="77777777" w:rsidR="00AC4F3C" w:rsidRPr="00AC4F3C" w:rsidRDefault="00AC4F3C" w:rsidP="00AC4F3C">
      <w:pPr>
        <w:ind w:left="708" w:right="-519"/>
        <w:jc w:val="both"/>
        <w:rPr>
          <w:rStyle w:val="s0"/>
          <w:bCs/>
          <w:lang w:val="en-US"/>
        </w:rPr>
      </w:pPr>
      <w:r w:rsidRPr="00AC4F3C">
        <w:rPr>
          <w:rStyle w:val="s0"/>
          <w:bCs/>
          <w:lang w:val="en-US"/>
        </w:rPr>
        <w:t>• Personnel policy: the authorized body of the Fund, responsible for personnel development, seeks to take into account gender aspects in the policies, rules and regulations governing human resource management activities;</w:t>
      </w:r>
    </w:p>
    <w:p w14:paraId="52C99E56" w14:textId="77777777" w:rsidR="00AC4F3C" w:rsidRPr="00AC4F3C" w:rsidRDefault="00AC4F3C" w:rsidP="00AC4F3C">
      <w:pPr>
        <w:ind w:left="708" w:right="-519"/>
        <w:jc w:val="both"/>
        <w:rPr>
          <w:rStyle w:val="s0"/>
          <w:bCs/>
          <w:lang w:val="en-US"/>
        </w:rPr>
      </w:pPr>
      <w:r w:rsidRPr="00AC4F3C">
        <w:rPr>
          <w:rStyle w:val="s0"/>
          <w:bCs/>
          <w:lang w:val="en-US"/>
        </w:rPr>
        <w:t>• The Foundation seeks to achieve gender balance in staff recruitment. Female candidates will be invited to apply for all vacancies, including managerial positions in both branches and headquarters. The Foundation strives to ensure that the number of female executives is equal to the number of male executives;</w:t>
      </w:r>
    </w:p>
    <w:p w14:paraId="1BCC35AA" w14:textId="77777777" w:rsidR="00AC4F3C" w:rsidRPr="00AC4F3C" w:rsidRDefault="00AC4F3C" w:rsidP="00AC4F3C">
      <w:pPr>
        <w:ind w:left="708" w:right="-519"/>
        <w:jc w:val="both"/>
        <w:rPr>
          <w:rStyle w:val="s0"/>
          <w:bCs/>
          <w:lang w:val="en-US"/>
        </w:rPr>
      </w:pPr>
      <w:r w:rsidRPr="00AC4F3C">
        <w:rPr>
          <w:rStyle w:val="s0"/>
          <w:bCs/>
          <w:lang w:val="en-US"/>
        </w:rPr>
        <w:t>• Activities dedicated to professional development of employees include seminars, training programs and discussions to promote and create conditions for a gender culture of work;</w:t>
      </w:r>
    </w:p>
    <w:p w14:paraId="04338E3B" w14:textId="77777777" w:rsidR="00AC4F3C" w:rsidRPr="00AC4F3C" w:rsidRDefault="00AC4F3C" w:rsidP="00AC4F3C">
      <w:pPr>
        <w:ind w:left="708" w:right="-519"/>
        <w:jc w:val="both"/>
        <w:rPr>
          <w:rStyle w:val="s0"/>
          <w:bCs/>
          <w:lang w:val="en-US"/>
        </w:rPr>
      </w:pPr>
      <w:r w:rsidRPr="00AC4F3C">
        <w:rPr>
          <w:rStyle w:val="s0"/>
          <w:bCs/>
          <w:lang w:val="en-US"/>
        </w:rPr>
        <w:t>• All projects of the Fund promote equal participation of all stakeholders. To promote and assess gender equality, a category has been added to the analytics for each project by the number of program participants among women and men. Projects aimed at the development of women entrepreneurs are identified as priorities;</w:t>
      </w:r>
    </w:p>
    <w:p w14:paraId="48E42E3F" w14:textId="77777777" w:rsidR="00AC4F3C" w:rsidRPr="00AC4F3C" w:rsidRDefault="00AC4F3C" w:rsidP="00AC4F3C">
      <w:pPr>
        <w:ind w:left="708" w:right="-519"/>
        <w:jc w:val="both"/>
        <w:rPr>
          <w:rStyle w:val="s0"/>
          <w:bCs/>
          <w:lang w:val="en-US"/>
        </w:rPr>
      </w:pPr>
      <w:r w:rsidRPr="00AC4F3C">
        <w:rPr>
          <w:rStyle w:val="s0"/>
          <w:bCs/>
          <w:lang w:val="en-US"/>
        </w:rPr>
        <w:t>• Under concessional lending programs, the Fund strives to work to achieve coverage of women entrepreneurs of at least 30% among end borrowers;</w:t>
      </w:r>
    </w:p>
    <w:p w14:paraId="3565AA8D" w14:textId="450B095A" w:rsidR="00B261A4" w:rsidRPr="00AC4F3C" w:rsidRDefault="00AC4F3C" w:rsidP="00AC4F3C">
      <w:pPr>
        <w:ind w:left="708" w:right="-519"/>
        <w:jc w:val="both"/>
        <w:rPr>
          <w:rStyle w:val="s0"/>
          <w:bCs/>
          <w:lang w:val="en-US"/>
        </w:rPr>
      </w:pPr>
      <w:r w:rsidRPr="00AC4F3C">
        <w:rPr>
          <w:rStyle w:val="s0"/>
          <w:bCs/>
          <w:lang w:val="en-US"/>
        </w:rPr>
        <w:t>• When choosing financial intermediaries in the process of project implementation, the Fund takes into account the existence of an approved gender policy and its application.</w:t>
      </w:r>
    </w:p>
    <w:p w14:paraId="5372AC51" w14:textId="77777777" w:rsidR="00AC4F3C" w:rsidRPr="00AC4F3C" w:rsidRDefault="00AC4F3C" w:rsidP="00AC4F3C">
      <w:pPr>
        <w:ind w:right="-519"/>
        <w:jc w:val="both"/>
        <w:rPr>
          <w:rStyle w:val="s0"/>
          <w:b/>
          <w:lang w:val="en-US"/>
        </w:rPr>
      </w:pPr>
    </w:p>
    <w:p w14:paraId="512B3E1C" w14:textId="13182945" w:rsidR="002B0CED" w:rsidRPr="00CB649A" w:rsidRDefault="00B5289E" w:rsidP="00E86D98">
      <w:pPr>
        <w:ind w:right="-519"/>
        <w:jc w:val="both"/>
        <w:rPr>
          <w:rStyle w:val="s0"/>
          <w:b/>
          <w:lang w:val="en-US"/>
        </w:rPr>
      </w:pPr>
      <w:r>
        <w:rPr>
          <w:rStyle w:val="s0"/>
          <w:b/>
          <w:lang w:val="en-US"/>
        </w:rPr>
        <w:t>Section</w:t>
      </w:r>
      <w:r w:rsidR="00CB649A" w:rsidRPr="00B5289E">
        <w:rPr>
          <w:rStyle w:val="s0"/>
          <w:b/>
          <w:lang w:val="en-US"/>
        </w:rPr>
        <w:t xml:space="preserve"> 5. Reports</w:t>
      </w:r>
    </w:p>
    <w:p w14:paraId="57C6CE92" w14:textId="77777777" w:rsidR="008608C4" w:rsidRPr="008608C4" w:rsidRDefault="008608C4" w:rsidP="008608C4">
      <w:pPr>
        <w:ind w:right="-519" w:firstLine="708"/>
        <w:jc w:val="both"/>
        <w:rPr>
          <w:rStyle w:val="s0"/>
          <w:lang w:val="en-US"/>
        </w:rPr>
      </w:pPr>
      <w:r w:rsidRPr="008608C4">
        <w:rPr>
          <w:rStyle w:val="s0"/>
          <w:lang w:val="en-US"/>
        </w:rPr>
        <w:t>Successful implementation of the Policy will require consistent and active participation of all personnel in the head office and regional branches and representative offices of the Fund. To this end, the Fund will annually develop an action plan and systematically fulfill the stated goals in accordance with the template for an action plan for gender equality (Appendix 1).</w:t>
      </w:r>
    </w:p>
    <w:p w14:paraId="00EF908C" w14:textId="77777777" w:rsidR="008608C4" w:rsidRPr="008608C4" w:rsidRDefault="008608C4" w:rsidP="008608C4">
      <w:pPr>
        <w:ind w:right="-519" w:firstLine="708"/>
        <w:jc w:val="both"/>
        <w:rPr>
          <w:rStyle w:val="s0"/>
          <w:lang w:val="en-US"/>
        </w:rPr>
      </w:pPr>
      <w:r w:rsidRPr="008608C4">
        <w:rPr>
          <w:rStyle w:val="s0"/>
          <w:lang w:val="en-US"/>
        </w:rPr>
        <w:t>The Foundation undertakes to compile and keep publicly available annual reports on the implementation of the action plan for gender equality. These reports will be published on the official website of the Foundation www.damu.kz.</w:t>
      </w:r>
    </w:p>
    <w:p w14:paraId="26B77864" w14:textId="0188EA09" w:rsidR="008608C4" w:rsidRPr="008608C4" w:rsidRDefault="008608C4" w:rsidP="008608C4">
      <w:pPr>
        <w:ind w:right="-519" w:firstLine="708"/>
        <w:jc w:val="both"/>
        <w:rPr>
          <w:rStyle w:val="s0"/>
          <w:lang w:val="en-US"/>
        </w:rPr>
      </w:pPr>
      <w:r w:rsidRPr="008608C4">
        <w:rPr>
          <w:rStyle w:val="s0"/>
          <w:lang w:val="en-US"/>
        </w:rPr>
        <w:t>The Foundation intends to provide information on the work carried out by the Foundation to ensure gender equality, local, international and foreign partners.</w:t>
      </w:r>
    </w:p>
    <w:p w14:paraId="0EBDCF2C" w14:textId="61DDC58E" w:rsidR="00E86D98" w:rsidRPr="008608C4" w:rsidRDefault="00E86D98" w:rsidP="00E86D98">
      <w:pPr>
        <w:ind w:right="-519"/>
        <w:jc w:val="both"/>
        <w:rPr>
          <w:rStyle w:val="s0"/>
          <w:b/>
          <w:lang w:val="en-US"/>
        </w:rPr>
      </w:pPr>
    </w:p>
    <w:p w14:paraId="01F10F00" w14:textId="77777777" w:rsidR="009F2C26" w:rsidRPr="00343D4D" w:rsidRDefault="009F2C26" w:rsidP="00E86D98">
      <w:pPr>
        <w:ind w:right="-519"/>
        <w:jc w:val="both"/>
        <w:rPr>
          <w:rStyle w:val="s0"/>
          <w:b/>
          <w:lang w:val="en-US"/>
        </w:rPr>
      </w:pPr>
    </w:p>
    <w:p w14:paraId="01BF9B53" w14:textId="77777777" w:rsidR="009F2C26" w:rsidRPr="00343D4D" w:rsidRDefault="009F2C26" w:rsidP="00E86D98">
      <w:pPr>
        <w:ind w:right="-519"/>
        <w:jc w:val="both"/>
        <w:rPr>
          <w:rStyle w:val="s0"/>
          <w:b/>
          <w:lang w:val="en-US"/>
        </w:rPr>
      </w:pPr>
    </w:p>
    <w:p w14:paraId="01FFC1DA" w14:textId="48732217" w:rsidR="002B0CED" w:rsidRPr="00FE0F35" w:rsidRDefault="00B5289E" w:rsidP="00E86D98">
      <w:pPr>
        <w:ind w:right="-519"/>
        <w:jc w:val="both"/>
        <w:rPr>
          <w:rStyle w:val="s0"/>
          <w:b/>
          <w:lang w:val="en-US"/>
        </w:rPr>
      </w:pPr>
      <w:r>
        <w:rPr>
          <w:rStyle w:val="s0"/>
          <w:b/>
          <w:lang w:val="en-US"/>
        </w:rPr>
        <w:t>Section</w:t>
      </w:r>
      <w:r w:rsidR="00FE0F35" w:rsidRPr="00B5289E">
        <w:rPr>
          <w:rStyle w:val="s0"/>
          <w:b/>
          <w:lang w:val="en-US"/>
        </w:rPr>
        <w:t xml:space="preserve"> 6. Engagement of consultants</w:t>
      </w:r>
    </w:p>
    <w:p w14:paraId="0C924C01" w14:textId="237AC7AA" w:rsidR="00307FF5" w:rsidRPr="00557EB7" w:rsidRDefault="00557EB7" w:rsidP="00E86D98">
      <w:pPr>
        <w:ind w:right="-519" w:firstLine="708"/>
        <w:jc w:val="both"/>
        <w:rPr>
          <w:lang w:val="en-US"/>
        </w:rPr>
      </w:pPr>
      <w:r w:rsidRPr="00557EB7">
        <w:rPr>
          <w:rStyle w:val="s0"/>
          <w:lang w:val="en-US"/>
        </w:rPr>
        <w:t>In order to develop the practice of ensuring and promoting gender equality, the Foundation may engage external consultants to conduct research, assess, improve the effectiveness of materials and activities aimed at solving gender problems.</w:t>
      </w:r>
    </w:p>
    <w:p w14:paraId="5D1211B0" w14:textId="0C8DC8E2" w:rsidR="00237A98" w:rsidRPr="00237A98" w:rsidRDefault="00237A98" w:rsidP="00237A98">
      <w:pPr>
        <w:tabs>
          <w:tab w:val="left" w:pos="6285"/>
        </w:tabs>
        <w:ind w:right="-519"/>
        <w:jc w:val="right"/>
        <w:rPr>
          <w:lang w:val="en-US"/>
        </w:rPr>
      </w:pPr>
      <w:r w:rsidRPr="00237A98">
        <w:rPr>
          <w:lang w:val="en-US"/>
        </w:rPr>
        <w:t xml:space="preserve">Appendix </w:t>
      </w:r>
      <w:r>
        <w:rPr>
          <w:lang w:val="en-US"/>
        </w:rPr>
        <w:t>N</w:t>
      </w:r>
      <w:r w:rsidRPr="00237A98">
        <w:rPr>
          <w:lang w:val="en-US"/>
        </w:rPr>
        <w:t xml:space="preserve"> 1</w:t>
      </w:r>
    </w:p>
    <w:p w14:paraId="193D7F0E" w14:textId="7898B229" w:rsidR="00237A98" w:rsidRPr="00237A98" w:rsidRDefault="00B5289E" w:rsidP="00237A98">
      <w:pPr>
        <w:tabs>
          <w:tab w:val="left" w:pos="6285"/>
        </w:tabs>
        <w:ind w:right="-519"/>
        <w:jc w:val="right"/>
        <w:rPr>
          <w:lang w:val="en-US"/>
        </w:rPr>
      </w:pPr>
      <w:r>
        <w:rPr>
          <w:lang w:val="en-US"/>
        </w:rPr>
        <w:t>for</w:t>
      </w:r>
      <w:r w:rsidR="00237A98" w:rsidRPr="00237A98">
        <w:rPr>
          <w:lang w:val="en-US"/>
        </w:rPr>
        <w:t xml:space="preserve"> </w:t>
      </w:r>
    </w:p>
    <w:p w14:paraId="49CC0ECD" w14:textId="77777777" w:rsidR="00B5289E" w:rsidRDefault="00477C2F" w:rsidP="00237A98">
      <w:pPr>
        <w:tabs>
          <w:tab w:val="left" w:pos="6285"/>
        </w:tabs>
        <w:ind w:right="-519"/>
        <w:jc w:val="right"/>
        <w:rPr>
          <w:lang w:val="en-US"/>
        </w:rPr>
      </w:pPr>
      <w:r>
        <w:rPr>
          <w:lang w:val="en-US"/>
        </w:rPr>
        <w:t>“</w:t>
      </w:r>
      <w:r w:rsidR="00237A98" w:rsidRPr="00237A98">
        <w:rPr>
          <w:lang w:val="en-US"/>
        </w:rPr>
        <w:t>Damu</w:t>
      </w:r>
      <w:r>
        <w:rPr>
          <w:lang w:val="en-US"/>
        </w:rPr>
        <w:t>”</w:t>
      </w:r>
      <w:r w:rsidR="00237A98" w:rsidRPr="00237A98">
        <w:rPr>
          <w:lang w:val="en-US"/>
        </w:rPr>
        <w:t xml:space="preserve"> Entrepreneurship Development Fund JSC</w:t>
      </w:r>
      <w:r w:rsidR="00B5289E" w:rsidRPr="00B5289E">
        <w:rPr>
          <w:lang w:val="en-US"/>
        </w:rPr>
        <w:t xml:space="preserve"> </w:t>
      </w:r>
    </w:p>
    <w:p w14:paraId="3623225B" w14:textId="2DFFCF9A" w:rsidR="007F3193" w:rsidRPr="00237A98" w:rsidRDefault="00B5289E" w:rsidP="00237A98">
      <w:pPr>
        <w:tabs>
          <w:tab w:val="left" w:pos="6285"/>
        </w:tabs>
        <w:ind w:right="-519"/>
        <w:jc w:val="right"/>
        <w:rPr>
          <w:lang w:val="en-US"/>
        </w:rPr>
      </w:pPr>
      <w:r w:rsidRPr="00237A98">
        <w:rPr>
          <w:lang w:val="en-US"/>
        </w:rPr>
        <w:t>Gender Policy</w:t>
      </w:r>
    </w:p>
    <w:p w14:paraId="4AF653A1" w14:textId="66F33781" w:rsidR="0008198B" w:rsidRPr="00237A98" w:rsidRDefault="0008198B" w:rsidP="0008198B">
      <w:pPr>
        <w:tabs>
          <w:tab w:val="left" w:pos="6285"/>
        </w:tabs>
        <w:ind w:right="-519"/>
        <w:jc w:val="right"/>
        <w:rPr>
          <w:lang w:val="en-US"/>
        </w:rPr>
      </w:pPr>
    </w:p>
    <w:p w14:paraId="1BA53EE9" w14:textId="77777777" w:rsidR="0008198B" w:rsidRPr="00237A98" w:rsidRDefault="0008198B" w:rsidP="0008198B">
      <w:pPr>
        <w:tabs>
          <w:tab w:val="left" w:pos="6285"/>
        </w:tabs>
        <w:ind w:right="-519"/>
        <w:jc w:val="right"/>
        <w:rPr>
          <w:lang w:val="en-US"/>
        </w:rPr>
      </w:pPr>
    </w:p>
    <w:p w14:paraId="2C35B192" w14:textId="77777777" w:rsidR="00A0416F" w:rsidRPr="00A0416F" w:rsidRDefault="00A0416F" w:rsidP="00A0416F">
      <w:pPr>
        <w:tabs>
          <w:tab w:val="left" w:pos="6285"/>
        </w:tabs>
        <w:jc w:val="center"/>
        <w:rPr>
          <w:b/>
          <w:lang w:val="en-US"/>
        </w:rPr>
      </w:pPr>
      <w:r w:rsidRPr="00A0416F">
        <w:rPr>
          <w:b/>
          <w:lang w:val="en-US"/>
        </w:rPr>
        <w:lastRenderedPageBreak/>
        <w:t>Action plan template</w:t>
      </w:r>
    </w:p>
    <w:p w14:paraId="6CC709FC" w14:textId="03D33BBB" w:rsidR="00D7621D" w:rsidRDefault="00A0416F" w:rsidP="00A0416F">
      <w:pPr>
        <w:tabs>
          <w:tab w:val="left" w:pos="6285"/>
        </w:tabs>
        <w:jc w:val="center"/>
        <w:rPr>
          <w:b/>
          <w:lang w:val="en-US"/>
        </w:rPr>
      </w:pPr>
      <w:r w:rsidRPr="00A0416F">
        <w:rPr>
          <w:b/>
          <w:lang w:val="en-US"/>
        </w:rPr>
        <w:t>on ensuring gender equality for ___</w:t>
      </w:r>
    </w:p>
    <w:p w14:paraId="59A71AC5" w14:textId="77777777" w:rsidR="00A0416F" w:rsidRPr="00A0416F" w:rsidRDefault="00A0416F" w:rsidP="00A0416F">
      <w:pPr>
        <w:tabs>
          <w:tab w:val="left" w:pos="6285"/>
        </w:tabs>
        <w:jc w:val="center"/>
        <w:rPr>
          <w:b/>
          <w:lang w:val="en-US"/>
        </w:rPr>
      </w:pPr>
    </w:p>
    <w:tbl>
      <w:tblPr>
        <w:tblStyle w:val="af1"/>
        <w:tblW w:w="10910" w:type="dxa"/>
        <w:tblLook w:val="04A0" w:firstRow="1" w:lastRow="0" w:firstColumn="1" w:lastColumn="0" w:noHBand="0" w:noVBand="1"/>
      </w:tblPr>
      <w:tblGrid>
        <w:gridCol w:w="488"/>
        <w:gridCol w:w="2671"/>
        <w:gridCol w:w="2167"/>
        <w:gridCol w:w="3055"/>
        <w:gridCol w:w="2529"/>
      </w:tblGrid>
      <w:tr w:rsidR="00D7621D" w:rsidRPr="0008198B" w14:paraId="2604FB6D" w14:textId="77777777" w:rsidTr="0008198B">
        <w:tc>
          <w:tcPr>
            <w:tcW w:w="488" w:type="dxa"/>
            <w:shd w:val="clear" w:color="auto" w:fill="D9D9D9" w:themeFill="background1" w:themeFillShade="D9"/>
          </w:tcPr>
          <w:p w14:paraId="237CEDAF" w14:textId="5077EF7B" w:rsidR="00D7621D" w:rsidRPr="0008198B" w:rsidRDefault="00D7621D" w:rsidP="00D7621D">
            <w:pPr>
              <w:tabs>
                <w:tab w:val="left" w:pos="6285"/>
              </w:tabs>
              <w:rPr>
                <w:b/>
              </w:rPr>
            </w:pPr>
            <w:r w:rsidRPr="0008198B">
              <w:rPr>
                <w:b/>
              </w:rPr>
              <w:t>№</w:t>
            </w:r>
          </w:p>
        </w:tc>
        <w:tc>
          <w:tcPr>
            <w:tcW w:w="2671" w:type="dxa"/>
            <w:shd w:val="clear" w:color="auto" w:fill="D9D9D9" w:themeFill="background1" w:themeFillShade="D9"/>
          </w:tcPr>
          <w:p w14:paraId="2091D959" w14:textId="10AFB34D" w:rsidR="00D7621D" w:rsidRPr="00A0416F" w:rsidRDefault="00A0416F" w:rsidP="00D7621D">
            <w:pPr>
              <w:tabs>
                <w:tab w:val="left" w:pos="6285"/>
              </w:tabs>
              <w:jc w:val="center"/>
              <w:rPr>
                <w:b/>
                <w:lang w:val="en-US"/>
              </w:rPr>
            </w:pPr>
            <w:r>
              <w:rPr>
                <w:b/>
                <w:lang w:val="en-US"/>
              </w:rPr>
              <w:t>Activity (Event)</w:t>
            </w:r>
          </w:p>
        </w:tc>
        <w:tc>
          <w:tcPr>
            <w:tcW w:w="2167" w:type="dxa"/>
            <w:shd w:val="clear" w:color="auto" w:fill="D9D9D9" w:themeFill="background1" w:themeFillShade="D9"/>
          </w:tcPr>
          <w:p w14:paraId="164BE913" w14:textId="09906191" w:rsidR="00D7621D" w:rsidRPr="0008198B" w:rsidRDefault="00A0416F" w:rsidP="00D7621D">
            <w:pPr>
              <w:tabs>
                <w:tab w:val="left" w:pos="6285"/>
              </w:tabs>
              <w:jc w:val="center"/>
              <w:rPr>
                <w:b/>
              </w:rPr>
            </w:pPr>
            <w:r>
              <w:rPr>
                <w:b/>
                <w:lang w:val="en-US"/>
              </w:rPr>
              <w:t>Implementation Period</w:t>
            </w:r>
            <w:r w:rsidR="00D7621D" w:rsidRPr="0008198B">
              <w:rPr>
                <w:b/>
              </w:rPr>
              <w:t xml:space="preserve"> </w:t>
            </w:r>
          </w:p>
        </w:tc>
        <w:tc>
          <w:tcPr>
            <w:tcW w:w="3055" w:type="dxa"/>
            <w:shd w:val="clear" w:color="auto" w:fill="D9D9D9" w:themeFill="background1" w:themeFillShade="D9"/>
          </w:tcPr>
          <w:p w14:paraId="347E89BA" w14:textId="55A139D5" w:rsidR="00D7621D" w:rsidRPr="00A0416F" w:rsidRDefault="00A0416F" w:rsidP="00D7621D">
            <w:pPr>
              <w:tabs>
                <w:tab w:val="left" w:pos="6285"/>
              </w:tabs>
              <w:jc w:val="center"/>
              <w:rPr>
                <w:b/>
                <w:lang w:val="en-US"/>
              </w:rPr>
            </w:pPr>
            <w:r>
              <w:rPr>
                <w:b/>
                <w:lang w:val="en-US"/>
              </w:rPr>
              <w:t>Responsible</w:t>
            </w:r>
          </w:p>
        </w:tc>
        <w:tc>
          <w:tcPr>
            <w:tcW w:w="2529" w:type="dxa"/>
            <w:shd w:val="clear" w:color="auto" w:fill="D9D9D9" w:themeFill="background1" w:themeFillShade="D9"/>
          </w:tcPr>
          <w:p w14:paraId="79394B26" w14:textId="4FF829A8" w:rsidR="00D7621D" w:rsidRPr="00A0416F" w:rsidRDefault="00A0416F" w:rsidP="00D7621D">
            <w:pPr>
              <w:tabs>
                <w:tab w:val="left" w:pos="6285"/>
              </w:tabs>
              <w:jc w:val="center"/>
              <w:rPr>
                <w:b/>
                <w:lang w:val="en-US"/>
              </w:rPr>
            </w:pPr>
            <w:r>
              <w:rPr>
                <w:b/>
                <w:lang w:val="en-US"/>
              </w:rPr>
              <w:t>Status</w:t>
            </w:r>
          </w:p>
        </w:tc>
      </w:tr>
      <w:tr w:rsidR="00D7621D" w:rsidRPr="0008198B" w14:paraId="18827007" w14:textId="77777777" w:rsidTr="0008198B">
        <w:tc>
          <w:tcPr>
            <w:tcW w:w="488" w:type="dxa"/>
          </w:tcPr>
          <w:p w14:paraId="2C2BA99E" w14:textId="43211E87" w:rsidR="00D7621D" w:rsidRPr="0008198B" w:rsidRDefault="00D7621D" w:rsidP="007F3193">
            <w:pPr>
              <w:tabs>
                <w:tab w:val="left" w:pos="6285"/>
              </w:tabs>
            </w:pPr>
            <w:r w:rsidRPr="0008198B">
              <w:t>1.</w:t>
            </w:r>
          </w:p>
        </w:tc>
        <w:tc>
          <w:tcPr>
            <w:tcW w:w="2671" w:type="dxa"/>
          </w:tcPr>
          <w:p w14:paraId="282E3993" w14:textId="055A3E55" w:rsidR="00D7621D" w:rsidRPr="00A0416F" w:rsidRDefault="00A0416F" w:rsidP="0027131F">
            <w:pPr>
              <w:tabs>
                <w:tab w:val="left" w:pos="6285"/>
              </w:tabs>
              <w:rPr>
                <w:lang w:val="en-US"/>
              </w:rPr>
            </w:pPr>
            <w:r w:rsidRPr="00A0416F">
              <w:rPr>
                <w:lang w:val="en-US"/>
              </w:rPr>
              <w:t>Conducting a training event for senior management on gender equality in the workplace</w:t>
            </w:r>
          </w:p>
        </w:tc>
        <w:tc>
          <w:tcPr>
            <w:tcW w:w="2167" w:type="dxa"/>
          </w:tcPr>
          <w:p w14:paraId="10637FFE" w14:textId="284FD81C" w:rsidR="00D7621D" w:rsidRPr="0027131F" w:rsidRDefault="0027131F" w:rsidP="00D7621D">
            <w:pPr>
              <w:tabs>
                <w:tab w:val="left" w:pos="6285"/>
              </w:tabs>
              <w:jc w:val="center"/>
            </w:pPr>
            <w:r>
              <w:t>-</w:t>
            </w:r>
          </w:p>
        </w:tc>
        <w:tc>
          <w:tcPr>
            <w:tcW w:w="3055" w:type="dxa"/>
          </w:tcPr>
          <w:p w14:paraId="5C4CC5CB" w14:textId="1C6C1E59" w:rsidR="00D7621D" w:rsidRPr="0008198B" w:rsidRDefault="00B5289E" w:rsidP="00D7621D">
            <w:pPr>
              <w:tabs>
                <w:tab w:val="left" w:pos="6285"/>
              </w:tabs>
              <w:jc w:val="center"/>
            </w:pPr>
            <w:r>
              <w:t xml:space="preserve">Manager / structural </w:t>
            </w:r>
            <w:r w:rsidR="00A0416F" w:rsidRPr="00A0416F">
              <w:t>division</w:t>
            </w:r>
          </w:p>
        </w:tc>
        <w:tc>
          <w:tcPr>
            <w:tcW w:w="2529" w:type="dxa"/>
          </w:tcPr>
          <w:p w14:paraId="5431E09B" w14:textId="15ADCB7B" w:rsidR="00D7621D" w:rsidRPr="0008198B" w:rsidRDefault="00D7621D" w:rsidP="00D7621D">
            <w:pPr>
              <w:tabs>
                <w:tab w:val="left" w:pos="6285"/>
              </w:tabs>
              <w:jc w:val="center"/>
            </w:pPr>
            <w:r w:rsidRPr="0008198B">
              <w:t>-</w:t>
            </w:r>
          </w:p>
        </w:tc>
      </w:tr>
      <w:tr w:rsidR="008A5118" w:rsidRPr="0008198B" w14:paraId="0111D3A0" w14:textId="77777777" w:rsidTr="0008198B">
        <w:tc>
          <w:tcPr>
            <w:tcW w:w="488" w:type="dxa"/>
          </w:tcPr>
          <w:p w14:paraId="40D2596F" w14:textId="6B63BD2B" w:rsidR="008A5118" w:rsidRPr="0008198B" w:rsidRDefault="009908C3" w:rsidP="008A5118">
            <w:pPr>
              <w:tabs>
                <w:tab w:val="left" w:pos="6285"/>
              </w:tabs>
            </w:pPr>
            <w:r>
              <w:t>2</w:t>
            </w:r>
            <w:r w:rsidR="008A5118" w:rsidRPr="0008198B">
              <w:t xml:space="preserve">. </w:t>
            </w:r>
          </w:p>
        </w:tc>
        <w:tc>
          <w:tcPr>
            <w:tcW w:w="2671" w:type="dxa"/>
          </w:tcPr>
          <w:p w14:paraId="60BDCDDD" w14:textId="14F283E5" w:rsidR="008A5118" w:rsidRPr="00A0416F" w:rsidRDefault="00A0416F" w:rsidP="0027131F">
            <w:pPr>
              <w:tabs>
                <w:tab w:val="left" w:pos="6285"/>
              </w:tabs>
              <w:rPr>
                <w:lang w:val="en-US"/>
              </w:rPr>
            </w:pPr>
            <w:r w:rsidRPr="00A0416F">
              <w:rPr>
                <w:lang w:val="en-US"/>
              </w:rPr>
              <w:t>Introduce a gender-specific category in the Foundation's reporting</w:t>
            </w:r>
          </w:p>
        </w:tc>
        <w:tc>
          <w:tcPr>
            <w:tcW w:w="2167" w:type="dxa"/>
          </w:tcPr>
          <w:p w14:paraId="6C8F8F9E" w14:textId="0019FF34" w:rsidR="008A5118" w:rsidRPr="0027131F" w:rsidRDefault="0027131F" w:rsidP="008A5118">
            <w:pPr>
              <w:tabs>
                <w:tab w:val="left" w:pos="6285"/>
              </w:tabs>
              <w:jc w:val="center"/>
            </w:pPr>
            <w:r>
              <w:t>-</w:t>
            </w:r>
          </w:p>
        </w:tc>
        <w:tc>
          <w:tcPr>
            <w:tcW w:w="3055" w:type="dxa"/>
          </w:tcPr>
          <w:p w14:paraId="5A8595A9" w14:textId="20E35916" w:rsidR="008A5118" w:rsidRPr="0008198B" w:rsidRDefault="00B5289E" w:rsidP="008A5118">
            <w:pPr>
              <w:tabs>
                <w:tab w:val="left" w:pos="6285"/>
              </w:tabs>
              <w:jc w:val="center"/>
            </w:pPr>
            <w:r>
              <w:t xml:space="preserve">Manager / structural </w:t>
            </w:r>
            <w:r w:rsidR="00A0416F" w:rsidRPr="00A0416F">
              <w:t>division</w:t>
            </w:r>
          </w:p>
        </w:tc>
        <w:tc>
          <w:tcPr>
            <w:tcW w:w="2529" w:type="dxa"/>
          </w:tcPr>
          <w:p w14:paraId="51CB5893" w14:textId="537588DB" w:rsidR="008A5118" w:rsidRPr="0008198B" w:rsidRDefault="008A5118" w:rsidP="008A5118">
            <w:pPr>
              <w:tabs>
                <w:tab w:val="left" w:pos="6285"/>
              </w:tabs>
              <w:jc w:val="center"/>
            </w:pPr>
            <w:r w:rsidRPr="0008198B">
              <w:t>-</w:t>
            </w:r>
          </w:p>
        </w:tc>
      </w:tr>
      <w:tr w:rsidR="008A5118" w:rsidRPr="0008198B" w14:paraId="7C91890D" w14:textId="77777777" w:rsidTr="0008198B">
        <w:tc>
          <w:tcPr>
            <w:tcW w:w="488" w:type="dxa"/>
          </w:tcPr>
          <w:p w14:paraId="04D2E6D7" w14:textId="56A6480A" w:rsidR="008A5118" w:rsidRPr="0008198B" w:rsidRDefault="009908C3" w:rsidP="008A5118">
            <w:pPr>
              <w:tabs>
                <w:tab w:val="left" w:pos="6285"/>
              </w:tabs>
            </w:pPr>
            <w:r>
              <w:t>3</w:t>
            </w:r>
            <w:r w:rsidR="008A5118" w:rsidRPr="0008198B">
              <w:t xml:space="preserve">. </w:t>
            </w:r>
          </w:p>
        </w:tc>
        <w:tc>
          <w:tcPr>
            <w:tcW w:w="2671" w:type="dxa"/>
          </w:tcPr>
          <w:p w14:paraId="29EE8AE4" w14:textId="3478F200" w:rsidR="008A5118" w:rsidRPr="00A0416F" w:rsidRDefault="00A0416F" w:rsidP="0027131F">
            <w:pPr>
              <w:tabs>
                <w:tab w:val="left" w:pos="6285"/>
              </w:tabs>
              <w:rPr>
                <w:lang w:val="en-US"/>
              </w:rPr>
            </w:pPr>
            <w:r w:rsidRPr="00A0416F">
              <w:rPr>
                <w:lang w:val="en-US"/>
              </w:rPr>
              <w:t>Providing safe, flexible working conditions for pregnant women and women with children</w:t>
            </w:r>
          </w:p>
        </w:tc>
        <w:tc>
          <w:tcPr>
            <w:tcW w:w="2167" w:type="dxa"/>
          </w:tcPr>
          <w:p w14:paraId="3F53286C" w14:textId="59CE8E4F" w:rsidR="008A5118" w:rsidRPr="0027131F" w:rsidRDefault="0027131F" w:rsidP="008A5118">
            <w:pPr>
              <w:tabs>
                <w:tab w:val="left" w:pos="6285"/>
              </w:tabs>
              <w:jc w:val="center"/>
            </w:pPr>
            <w:r>
              <w:t>-</w:t>
            </w:r>
          </w:p>
        </w:tc>
        <w:tc>
          <w:tcPr>
            <w:tcW w:w="3055" w:type="dxa"/>
          </w:tcPr>
          <w:p w14:paraId="74429EBF" w14:textId="4AE5146F" w:rsidR="008A5118" w:rsidRPr="0008198B" w:rsidRDefault="00B5289E" w:rsidP="008A5118">
            <w:pPr>
              <w:tabs>
                <w:tab w:val="left" w:pos="6285"/>
              </w:tabs>
              <w:jc w:val="center"/>
            </w:pPr>
            <w:r>
              <w:t xml:space="preserve">Manager / structural </w:t>
            </w:r>
            <w:r w:rsidR="00A0416F" w:rsidRPr="00A0416F">
              <w:t>division</w:t>
            </w:r>
          </w:p>
        </w:tc>
        <w:tc>
          <w:tcPr>
            <w:tcW w:w="2529" w:type="dxa"/>
          </w:tcPr>
          <w:p w14:paraId="3AD0EFEF" w14:textId="363C5756" w:rsidR="008A5118" w:rsidRPr="0008198B" w:rsidRDefault="008A5118" w:rsidP="008A5118">
            <w:pPr>
              <w:tabs>
                <w:tab w:val="left" w:pos="6285"/>
              </w:tabs>
              <w:jc w:val="center"/>
            </w:pPr>
            <w:r w:rsidRPr="0008198B">
              <w:t>-</w:t>
            </w:r>
          </w:p>
        </w:tc>
      </w:tr>
      <w:tr w:rsidR="008A5118" w14:paraId="619D5C05" w14:textId="77777777" w:rsidTr="0008198B">
        <w:tc>
          <w:tcPr>
            <w:tcW w:w="488" w:type="dxa"/>
          </w:tcPr>
          <w:p w14:paraId="1C5109A1" w14:textId="293597E9" w:rsidR="008A5118" w:rsidRPr="0008198B" w:rsidRDefault="009908C3" w:rsidP="008A5118">
            <w:pPr>
              <w:tabs>
                <w:tab w:val="left" w:pos="6285"/>
              </w:tabs>
            </w:pPr>
            <w:r>
              <w:t>4</w:t>
            </w:r>
            <w:r w:rsidR="008A5118" w:rsidRPr="0008198B">
              <w:t>.</w:t>
            </w:r>
          </w:p>
        </w:tc>
        <w:tc>
          <w:tcPr>
            <w:tcW w:w="2671" w:type="dxa"/>
          </w:tcPr>
          <w:p w14:paraId="6BEB2D0B" w14:textId="3984A141" w:rsidR="008A5118" w:rsidRPr="00A0416F" w:rsidRDefault="00A0416F" w:rsidP="0027131F">
            <w:pPr>
              <w:tabs>
                <w:tab w:val="left" w:pos="6285"/>
              </w:tabs>
              <w:rPr>
                <w:lang w:val="en-US"/>
              </w:rPr>
            </w:pPr>
            <w:r w:rsidRPr="00A0416F">
              <w:rPr>
                <w:lang w:val="en-US"/>
              </w:rPr>
              <w:t>Preparation of an annual report on the participation of women entrepreneurs in SME support programs</w:t>
            </w:r>
          </w:p>
        </w:tc>
        <w:tc>
          <w:tcPr>
            <w:tcW w:w="2167" w:type="dxa"/>
          </w:tcPr>
          <w:p w14:paraId="382BEABE" w14:textId="36FAB61B" w:rsidR="008A5118" w:rsidRPr="0008198B" w:rsidRDefault="0027131F" w:rsidP="008A5118">
            <w:pPr>
              <w:tabs>
                <w:tab w:val="left" w:pos="6285"/>
              </w:tabs>
              <w:jc w:val="center"/>
              <w:rPr>
                <w:lang w:val="kk-KZ"/>
              </w:rPr>
            </w:pPr>
            <w:r>
              <w:rPr>
                <w:lang w:val="kk-KZ"/>
              </w:rPr>
              <w:t>-</w:t>
            </w:r>
          </w:p>
        </w:tc>
        <w:tc>
          <w:tcPr>
            <w:tcW w:w="3055" w:type="dxa"/>
          </w:tcPr>
          <w:p w14:paraId="07D95CA9" w14:textId="0C837A9A" w:rsidR="008A5118" w:rsidRPr="0008198B" w:rsidRDefault="00B5289E" w:rsidP="008A5118">
            <w:pPr>
              <w:tabs>
                <w:tab w:val="left" w:pos="6285"/>
              </w:tabs>
              <w:jc w:val="center"/>
            </w:pPr>
            <w:r>
              <w:t xml:space="preserve">Manager / structural </w:t>
            </w:r>
            <w:r w:rsidR="00A0416F" w:rsidRPr="00A0416F">
              <w:t>division</w:t>
            </w:r>
          </w:p>
        </w:tc>
        <w:tc>
          <w:tcPr>
            <w:tcW w:w="2529" w:type="dxa"/>
          </w:tcPr>
          <w:p w14:paraId="38C46682" w14:textId="743A5213" w:rsidR="008A5118" w:rsidRPr="008A5118" w:rsidRDefault="008A5118" w:rsidP="008A5118">
            <w:pPr>
              <w:tabs>
                <w:tab w:val="left" w:pos="6285"/>
              </w:tabs>
              <w:jc w:val="center"/>
              <w:rPr>
                <w:lang w:val="kk-KZ"/>
              </w:rPr>
            </w:pPr>
            <w:r w:rsidRPr="0008198B">
              <w:rPr>
                <w:lang w:val="kk-KZ"/>
              </w:rPr>
              <w:t>-</w:t>
            </w:r>
          </w:p>
        </w:tc>
      </w:tr>
    </w:tbl>
    <w:p w14:paraId="78A48EEA" w14:textId="77777777" w:rsidR="007F3193" w:rsidRPr="008A5118" w:rsidRDefault="007F3193" w:rsidP="007F3193">
      <w:pPr>
        <w:tabs>
          <w:tab w:val="left" w:pos="6285"/>
        </w:tabs>
        <w:rPr>
          <w:lang w:val="en-US"/>
        </w:rPr>
      </w:pPr>
    </w:p>
    <w:sectPr w:rsidR="007F3193" w:rsidRPr="008A5118" w:rsidSect="0008198B">
      <w:footerReference w:type="default" r:id="rId8"/>
      <w:pgSz w:w="12240" w:h="15840"/>
      <w:pgMar w:top="1134" w:right="1135" w:bottom="1134" w:left="709"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CA964" w14:textId="77777777" w:rsidR="0058413D" w:rsidRDefault="0058413D" w:rsidP="0095721B">
      <w:r>
        <w:separator/>
      </w:r>
    </w:p>
  </w:endnote>
  <w:endnote w:type="continuationSeparator" w:id="0">
    <w:p w14:paraId="5F55EE78" w14:textId="77777777" w:rsidR="0058413D" w:rsidRDefault="0058413D" w:rsidP="0095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055676"/>
      <w:docPartObj>
        <w:docPartGallery w:val="Page Numbers (Bottom of Page)"/>
        <w:docPartUnique/>
      </w:docPartObj>
    </w:sdtPr>
    <w:sdtEndPr/>
    <w:sdtContent>
      <w:p w14:paraId="6062BEDD" w14:textId="62C8C7EB" w:rsidR="0008198B" w:rsidRDefault="0008198B">
        <w:pPr>
          <w:pStyle w:val="af8"/>
          <w:jc w:val="right"/>
        </w:pPr>
        <w:r>
          <w:fldChar w:fldCharType="begin"/>
        </w:r>
        <w:r>
          <w:instrText>PAGE   \* MERGEFORMAT</w:instrText>
        </w:r>
        <w:r>
          <w:fldChar w:fldCharType="separate"/>
        </w:r>
        <w:r w:rsidR="00545429">
          <w:rPr>
            <w:noProof/>
          </w:rPr>
          <w:t>5</w:t>
        </w:r>
        <w:r>
          <w:fldChar w:fldCharType="end"/>
        </w:r>
      </w:p>
    </w:sdtContent>
  </w:sdt>
  <w:p w14:paraId="3C220F77" w14:textId="77777777" w:rsidR="0008198B" w:rsidRDefault="0008198B">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47945" w14:textId="77777777" w:rsidR="0058413D" w:rsidRDefault="0058413D" w:rsidP="0095721B">
      <w:r>
        <w:separator/>
      </w:r>
    </w:p>
  </w:footnote>
  <w:footnote w:type="continuationSeparator" w:id="0">
    <w:p w14:paraId="0FC5E1EB" w14:textId="77777777" w:rsidR="0058413D" w:rsidRDefault="0058413D" w:rsidP="009572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1C31"/>
    <w:multiLevelType w:val="hybridMultilevel"/>
    <w:tmpl w:val="59CEA486"/>
    <w:lvl w:ilvl="0" w:tplc="11D0C6DC">
      <w:start w:val="1"/>
      <w:numFmt w:val="decimal"/>
      <w:lvlText w:val="%1)"/>
      <w:lvlJc w:val="left"/>
      <w:pPr>
        <w:ind w:left="1542" w:hanging="97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00123B"/>
    <w:multiLevelType w:val="hybridMultilevel"/>
    <w:tmpl w:val="4D74F11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15:restartNumberingAfterBreak="0">
    <w:nsid w:val="1DE178DB"/>
    <w:multiLevelType w:val="hybridMultilevel"/>
    <w:tmpl w:val="CC429DDA"/>
    <w:lvl w:ilvl="0" w:tplc="50C4F4D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66C34"/>
    <w:multiLevelType w:val="hybridMultilevel"/>
    <w:tmpl w:val="9CCE0B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24F327C"/>
    <w:multiLevelType w:val="hybridMultilevel"/>
    <w:tmpl w:val="21A88C36"/>
    <w:lvl w:ilvl="0" w:tplc="6A3866F4">
      <w:start w:val="1"/>
      <w:numFmt w:val="decimal"/>
      <w:lvlText w:val="%1)"/>
      <w:lvlJc w:val="left"/>
      <w:pPr>
        <w:ind w:left="1287" w:hanging="360"/>
      </w:pPr>
      <w:rPr>
        <w:rFonts w:ascii="Times New Roman" w:hAnsi="Times New Roman" w:cs="Times New Roman" w:hint="default"/>
        <w: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5127C34"/>
    <w:multiLevelType w:val="hybridMultilevel"/>
    <w:tmpl w:val="6788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D008BC"/>
    <w:multiLevelType w:val="hybridMultilevel"/>
    <w:tmpl w:val="DF80BBD0"/>
    <w:lvl w:ilvl="0" w:tplc="D102CD9A">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544A3"/>
    <w:multiLevelType w:val="hybridMultilevel"/>
    <w:tmpl w:val="D07E2A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50840B7E"/>
    <w:multiLevelType w:val="hybridMultilevel"/>
    <w:tmpl w:val="159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F4EBA"/>
    <w:multiLevelType w:val="hybridMultilevel"/>
    <w:tmpl w:val="0484BB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DDD2FD5"/>
    <w:multiLevelType w:val="hybridMultilevel"/>
    <w:tmpl w:val="58681E76"/>
    <w:lvl w:ilvl="0" w:tplc="B5A06028">
      <w:start w:val="1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3D8759C"/>
    <w:multiLevelType w:val="hybridMultilevel"/>
    <w:tmpl w:val="08447E92"/>
    <w:lvl w:ilvl="0" w:tplc="35F2D8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10"/>
  </w:num>
  <w:num w:numId="6">
    <w:abstractNumId w:val="2"/>
  </w:num>
  <w:num w:numId="7">
    <w:abstractNumId w:val="3"/>
  </w:num>
  <w:num w:numId="8">
    <w:abstractNumId w:val="7"/>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CC"/>
    <w:rsid w:val="00004735"/>
    <w:rsid w:val="00005722"/>
    <w:rsid w:val="0001158B"/>
    <w:rsid w:val="00011D5D"/>
    <w:rsid w:val="00015610"/>
    <w:rsid w:val="00016F50"/>
    <w:rsid w:val="000179C6"/>
    <w:rsid w:val="00017BD9"/>
    <w:rsid w:val="00021F99"/>
    <w:rsid w:val="000229B2"/>
    <w:rsid w:val="0002383C"/>
    <w:rsid w:val="00025274"/>
    <w:rsid w:val="000252FD"/>
    <w:rsid w:val="00025420"/>
    <w:rsid w:val="000307D9"/>
    <w:rsid w:val="00030DD7"/>
    <w:rsid w:val="000318B9"/>
    <w:rsid w:val="000332D5"/>
    <w:rsid w:val="00034A21"/>
    <w:rsid w:val="00034B98"/>
    <w:rsid w:val="0003600F"/>
    <w:rsid w:val="00040145"/>
    <w:rsid w:val="000410FD"/>
    <w:rsid w:val="00045B9F"/>
    <w:rsid w:val="00045E75"/>
    <w:rsid w:val="000506C4"/>
    <w:rsid w:val="00051726"/>
    <w:rsid w:val="00053165"/>
    <w:rsid w:val="000549E6"/>
    <w:rsid w:val="0005512D"/>
    <w:rsid w:val="00057831"/>
    <w:rsid w:val="00060314"/>
    <w:rsid w:val="00064A0A"/>
    <w:rsid w:val="000670BE"/>
    <w:rsid w:val="00067588"/>
    <w:rsid w:val="00070375"/>
    <w:rsid w:val="00070647"/>
    <w:rsid w:val="000712C2"/>
    <w:rsid w:val="00074FAA"/>
    <w:rsid w:val="00075CC6"/>
    <w:rsid w:val="00077109"/>
    <w:rsid w:val="00077CAE"/>
    <w:rsid w:val="00077DBC"/>
    <w:rsid w:val="0008198B"/>
    <w:rsid w:val="0008685F"/>
    <w:rsid w:val="00086CE0"/>
    <w:rsid w:val="00087EA7"/>
    <w:rsid w:val="00090B0D"/>
    <w:rsid w:val="0009345E"/>
    <w:rsid w:val="0009469A"/>
    <w:rsid w:val="00096422"/>
    <w:rsid w:val="000975CC"/>
    <w:rsid w:val="00097AE9"/>
    <w:rsid w:val="000A13A9"/>
    <w:rsid w:val="000A6C33"/>
    <w:rsid w:val="000B006F"/>
    <w:rsid w:val="000B169C"/>
    <w:rsid w:val="000B3B3B"/>
    <w:rsid w:val="000B6668"/>
    <w:rsid w:val="000C259F"/>
    <w:rsid w:val="000C4BF3"/>
    <w:rsid w:val="000C7821"/>
    <w:rsid w:val="000D185A"/>
    <w:rsid w:val="000D1B30"/>
    <w:rsid w:val="000D2317"/>
    <w:rsid w:val="000D5A06"/>
    <w:rsid w:val="000D5DA8"/>
    <w:rsid w:val="000D68EA"/>
    <w:rsid w:val="000D7AA2"/>
    <w:rsid w:val="000D7F78"/>
    <w:rsid w:val="000E2E8B"/>
    <w:rsid w:val="000E488B"/>
    <w:rsid w:val="000E4D88"/>
    <w:rsid w:val="000E5D6E"/>
    <w:rsid w:val="000F4C2C"/>
    <w:rsid w:val="000F605E"/>
    <w:rsid w:val="000F60B2"/>
    <w:rsid w:val="000F75FC"/>
    <w:rsid w:val="00105D85"/>
    <w:rsid w:val="00115DF2"/>
    <w:rsid w:val="0011684B"/>
    <w:rsid w:val="001241A4"/>
    <w:rsid w:val="001242BC"/>
    <w:rsid w:val="00124CCE"/>
    <w:rsid w:val="00124CEA"/>
    <w:rsid w:val="00125118"/>
    <w:rsid w:val="00125F79"/>
    <w:rsid w:val="001265CE"/>
    <w:rsid w:val="001269C8"/>
    <w:rsid w:val="00132814"/>
    <w:rsid w:val="00132BC5"/>
    <w:rsid w:val="001429BE"/>
    <w:rsid w:val="001429BF"/>
    <w:rsid w:val="00144866"/>
    <w:rsid w:val="001469CD"/>
    <w:rsid w:val="001522E6"/>
    <w:rsid w:val="00155DDA"/>
    <w:rsid w:val="0016281F"/>
    <w:rsid w:val="00162D80"/>
    <w:rsid w:val="00163051"/>
    <w:rsid w:val="001645E0"/>
    <w:rsid w:val="001656AA"/>
    <w:rsid w:val="00166984"/>
    <w:rsid w:val="001672CC"/>
    <w:rsid w:val="0017122C"/>
    <w:rsid w:val="0017300D"/>
    <w:rsid w:val="00173DBD"/>
    <w:rsid w:val="00176478"/>
    <w:rsid w:val="001765CE"/>
    <w:rsid w:val="00176C2A"/>
    <w:rsid w:val="00181F6C"/>
    <w:rsid w:val="001832BF"/>
    <w:rsid w:val="001834CA"/>
    <w:rsid w:val="00185623"/>
    <w:rsid w:val="00192B7B"/>
    <w:rsid w:val="00194D61"/>
    <w:rsid w:val="001A0801"/>
    <w:rsid w:val="001A5FD1"/>
    <w:rsid w:val="001A74BA"/>
    <w:rsid w:val="001A7956"/>
    <w:rsid w:val="001A7B06"/>
    <w:rsid w:val="001B01E6"/>
    <w:rsid w:val="001B1B4B"/>
    <w:rsid w:val="001B1CEF"/>
    <w:rsid w:val="001B1F98"/>
    <w:rsid w:val="001B45FB"/>
    <w:rsid w:val="001B5174"/>
    <w:rsid w:val="001B5FE6"/>
    <w:rsid w:val="001C12B8"/>
    <w:rsid w:val="001C163D"/>
    <w:rsid w:val="001C2586"/>
    <w:rsid w:val="001C2E94"/>
    <w:rsid w:val="001C5928"/>
    <w:rsid w:val="001C633F"/>
    <w:rsid w:val="001D176E"/>
    <w:rsid w:val="001D2EE6"/>
    <w:rsid w:val="001D4849"/>
    <w:rsid w:val="001D5EE2"/>
    <w:rsid w:val="001D6017"/>
    <w:rsid w:val="001D6EF6"/>
    <w:rsid w:val="001E07AB"/>
    <w:rsid w:val="001E3E08"/>
    <w:rsid w:val="001E550F"/>
    <w:rsid w:val="001E5BE9"/>
    <w:rsid w:val="001E6BAC"/>
    <w:rsid w:val="001E6F53"/>
    <w:rsid w:val="001E712D"/>
    <w:rsid w:val="001E7157"/>
    <w:rsid w:val="001F144D"/>
    <w:rsid w:val="001F489F"/>
    <w:rsid w:val="00200F80"/>
    <w:rsid w:val="002069FC"/>
    <w:rsid w:val="002114B3"/>
    <w:rsid w:val="002125AA"/>
    <w:rsid w:val="00214E90"/>
    <w:rsid w:val="002218FA"/>
    <w:rsid w:val="00221F05"/>
    <w:rsid w:val="00223286"/>
    <w:rsid w:val="00223EDD"/>
    <w:rsid w:val="002243F1"/>
    <w:rsid w:val="00226243"/>
    <w:rsid w:val="002302C6"/>
    <w:rsid w:val="00233AD9"/>
    <w:rsid w:val="002359C1"/>
    <w:rsid w:val="00236B84"/>
    <w:rsid w:val="002371E6"/>
    <w:rsid w:val="00237A98"/>
    <w:rsid w:val="002430DE"/>
    <w:rsid w:val="002439C2"/>
    <w:rsid w:val="00246139"/>
    <w:rsid w:val="0024630B"/>
    <w:rsid w:val="00247865"/>
    <w:rsid w:val="002500A8"/>
    <w:rsid w:val="002506E3"/>
    <w:rsid w:val="00253BAB"/>
    <w:rsid w:val="0025685E"/>
    <w:rsid w:val="00262CCB"/>
    <w:rsid w:val="002669DC"/>
    <w:rsid w:val="0027131F"/>
    <w:rsid w:val="002715A1"/>
    <w:rsid w:val="0027185C"/>
    <w:rsid w:val="00272D2C"/>
    <w:rsid w:val="0027368F"/>
    <w:rsid w:val="00275405"/>
    <w:rsid w:val="00276643"/>
    <w:rsid w:val="00280C38"/>
    <w:rsid w:val="00283978"/>
    <w:rsid w:val="00284A9A"/>
    <w:rsid w:val="00285AA7"/>
    <w:rsid w:val="00287A56"/>
    <w:rsid w:val="002908F7"/>
    <w:rsid w:val="002909EB"/>
    <w:rsid w:val="002915E8"/>
    <w:rsid w:val="0029201A"/>
    <w:rsid w:val="0029385F"/>
    <w:rsid w:val="00294548"/>
    <w:rsid w:val="00295447"/>
    <w:rsid w:val="0029570D"/>
    <w:rsid w:val="00295872"/>
    <w:rsid w:val="002A048C"/>
    <w:rsid w:val="002A1235"/>
    <w:rsid w:val="002A351A"/>
    <w:rsid w:val="002A3ECE"/>
    <w:rsid w:val="002A6D3B"/>
    <w:rsid w:val="002A7CA4"/>
    <w:rsid w:val="002B0CED"/>
    <w:rsid w:val="002B6679"/>
    <w:rsid w:val="002B66E5"/>
    <w:rsid w:val="002B70C5"/>
    <w:rsid w:val="002B7FA8"/>
    <w:rsid w:val="002C3880"/>
    <w:rsid w:val="002C38EE"/>
    <w:rsid w:val="002C5B2E"/>
    <w:rsid w:val="002D04CC"/>
    <w:rsid w:val="002D2867"/>
    <w:rsid w:val="002D4234"/>
    <w:rsid w:val="002D466C"/>
    <w:rsid w:val="002D5D50"/>
    <w:rsid w:val="002E14A1"/>
    <w:rsid w:val="002E1DE7"/>
    <w:rsid w:val="002E44E8"/>
    <w:rsid w:val="002E6F66"/>
    <w:rsid w:val="002E6FF0"/>
    <w:rsid w:val="002F0101"/>
    <w:rsid w:val="002F094D"/>
    <w:rsid w:val="002F321E"/>
    <w:rsid w:val="00300654"/>
    <w:rsid w:val="00301F6B"/>
    <w:rsid w:val="0030272D"/>
    <w:rsid w:val="00305A4E"/>
    <w:rsid w:val="00306390"/>
    <w:rsid w:val="00307836"/>
    <w:rsid w:val="00307FF5"/>
    <w:rsid w:val="003104D3"/>
    <w:rsid w:val="00311FCC"/>
    <w:rsid w:val="003126F1"/>
    <w:rsid w:val="003137AE"/>
    <w:rsid w:val="00316289"/>
    <w:rsid w:val="00317694"/>
    <w:rsid w:val="003231BC"/>
    <w:rsid w:val="003264B6"/>
    <w:rsid w:val="003272FE"/>
    <w:rsid w:val="00330088"/>
    <w:rsid w:val="003308F1"/>
    <w:rsid w:val="003310B6"/>
    <w:rsid w:val="003317B7"/>
    <w:rsid w:val="0034119C"/>
    <w:rsid w:val="00341A0B"/>
    <w:rsid w:val="00342031"/>
    <w:rsid w:val="003423CF"/>
    <w:rsid w:val="00343D4D"/>
    <w:rsid w:val="003442FC"/>
    <w:rsid w:val="00344F3C"/>
    <w:rsid w:val="003457E5"/>
    <w:rsid w:val="003471C9"/>
    <w:rsid w:val="00347572"/>
    <w:rsid w:val="0035065D"/>
    <w:rsid w:val="00351A41"/>
    <w:rsid w:val="00354026"/>
    <w:rsid w:val="00360133"/>
    <w:rsid w:val="003618DD"/>
    <w:rsid w:val="00361F7F"/>
    <w:rsid w:val="003639AC"/>
    <w:rsid w:val="0036548E"/>
    <w:rsid w:val="003664A9"/>
    <w:rsid w:val="0037253C"/>
    <w:rsid w:val="003727CC"/>
    <w:rsid w:val="003758EB"/>
    <w:rsid w:val="00376358"/>
    <w:rsid w:val="00383535"/>
    <w:rsid w:val="0038625B"/>
    <w:rsid w:val="003868C0"/>
    <w:rsid w:val="003906AC"/>
    <w:rsid w:val="00390A56"/>
    <w:rsid w:val="00392080"/>
    <w:rsid w:val="00395212"/>
    <w:rsid w:val="003A0805"/>
    <w:rsid w:val="003A182B"/>
    <w:rsid w:val="003A3237"/>
    <w:rsid w:val="003A323B"/>
    <w:rsid w:val="003A3EF1"/>
    <w:rsid w:val="003B0375"/>
    <w:rsid w:val="003B0BB1"/>
    <w:rsid w:val="003B3957"/>
    <w:rsid w:val="003B3CFB"/>
    <w:rsid w:val="003B7E1A"/>
    <w:rsid w:val="003C40B6"/>
    <w:rsid w:val="003C4974"/>
    <w:rsid w:val="003C6FE4"/>
    <w:rsid w:val="003C7374"/>
    <w:rsid w:val="003C7500"/>
    <w:rsid w:val="003D024F"/>
    <w:rsid w:val="003D11F4"/>
    <w:rsid w:val="003D31C7"/>
    <w:rsid w:val="003D353A"/>
    <w:rsid w:val="003D43C9"/>
    <w:rsid w:val="003D4EA2"/>
    <w:rsid w:val="003D54FC"/>
    <w:rsid w:val="003D5A36"/>
    <w:rsid w:val="003D6D82"/>
    <w:rsid w:val="003E003A"/>
    <w:rsid w:val="003E034B"/>
    <w:rsid w:val="003E2A9A"/>
    <w:rsid w:val="003E37E5"/>
    <w:rsid w:val="003E3FD9"/>
    <w:rsid w:val="003E7573"/>
    <w:rsid w:val="003E78BE"/>
    <w:rsid w:val="003E7913"/>
    <w:rsid w:val="003E7A61"/>
    <w:rsid w:val="003F2119"/>
    <w:rsid w:val="003F34A7"/>
    <w:rsid w:val="003F5A8B"/>
    <w:rsid w:val="003F69BB"/>
    <w:rsid w:val="00401731"/>
    <w:rsid w:val="004021BF"/>
    <w:rsid w:val="004024BD"/>
    <w:rsid w:val="00403CD9"/>
    <w:rsid w:val="00405A06"/>
    <w:rsid w:val="0040605F"/>
    <w:rsid w:val="00406661"/>
    <w:rsid w:val="00411A64"/>
    <w:rsid w:val="004129EA"/>
    <w:rsid w:val="00415B0E"/>
    <w:rsid w:val="00417B6C"/>
    <w:rsid w:val="00420990"/>
    <w:rsid w:val="00423921"/>
    <w:rsid w:val="00423A67"/>
    <w:rsid w:val="00425A93"/>
    <w:rsid w:val="00426988"/>
    <w:rsid w:val="00430288"/>
    <w:rsid w:val="00431294"/>
    <w:rsid w:val="00434F6C"/>
    <w:rsid w:val="0044057A"/>
    <w:rsid w:val="00442C82"/>
    <w:rsid w:val="00452159"/>
    <w:rsid w:val="00455AFB"/>
    <w:rsid w:val="00455B87"/>
    <w:rsid w:val="00456828"/>
    <w:rsid w:val="004574E2"/>
    <w:rsid w:val="00460945"/>
    <w:rsid w:val="00461143"/>
    <w:rsid w:val="004614AF"/>
    <w:rsid w:val="0046192E"/>
    <w:rsid w:val="00465073"/>
    <w:rsid w:val="00465461"/>
    <w:rsid w:val="0046644B"/>
    <w:rsid w:val="004674CE"/>
    <w:rsid w:val="004706C8"/>
    <w:rsid w:val="00471362"/>
    <w:rsid w:val="004719C9"/>
    <w:rsid w:val="00472198"/>
    <w:rsid w:val="00473C47"/>
    <w:rsid w:val="00474F56"/>
    <w:rsid w:val="00476A7C"/>
    <w:rsid w:val="00477C2F"/>
    <w:rsid w:val="00480FE6"/>
    <w:rsid w:val="00485205"/>
    <w:rsid w:val="00486C3D"/>
    <w:rsid w:val="00490652"/>
    <w:rsid w:val="00490773"/>
    <w:rsid w:val="00491E8E"/>
    <w:rsid w:val="00496585"/>
    <w:rsid w:val="004A1460"/>
    <w:rsid w:val="004A1779"/>
    <w:rsid w:val="004A2231"/>
    <w:rsid w:val="004A3DDB"/>
    <w:rsid w:val="004A45D8"/>
    <w:rsid w:val="004A509B"/>
    <w:rsid w:val="004A5168"/>
    <w:rsid w:val="004A64C9"/>
    <w:rsid w:val="004A6DC8"/>
    <w:rsid w:val="004A7A44"/>
    <w:rsid w:val="004B0381"/>
    <w:rsid w:val="004B0C36"/>
    <w:rsid w:val="004B28A9"/>
    <w:rsid w:val="004B2CD4"/>
    <w:rsid w:val="004B3606"/>
    <w:rsid w:val="004B414A"/>
    <w:rsid w:val="004B7AA8"/>
    <w:rsid w:val="004C39CE"/>
    <w:rsid w:val="004C7033"/>
    <w:rsid w:val="004C790A"/>
    <w:rsid w:val="004D27BC"/>
    <w:rsid w:val="004D63A6"/>
    <w:rsid w:val="004D7272"/>
    <w:rsid w:val="004E3A43"/>
    <w:rsid w:val="004E3D85"/>
    <w:rsid w:val="004E4EA0"/>
    <w:rsid w:val="004E64E7"/>
    <w:rsid w:val="004F190C"/>
    <w:rsid w:val="004F25C9"/>
    <w:rsid w:val="004F3681"/>
    <w:rsid w:val="004F4319"/>
    <w:rsid w:val="004F5CBE"/>
    <w:rsid w:val="004F7903"/>
    <w:rsid w:val="00501FA9"/>
    <w:rsid w:val="005020E6"/>
    <w:rsid w:val="005024E2"/>
    <w:rsid w:val="00503AFD"/>
    <w:rsid w:val="00504ECE"/>
    <w:rsid w:val="00512AA2"/>
    <w:rsid w:val="00513BEB"/>
    <w:rsid w:val="00517813"/>
    <w:rsid w:val="00520256"/>
    <w:rsid w:val="00521EAA"/>
    <w:rsid w:val="005222E4"/>
    <w:rsid w:val="005246E4"/>
    <w:rsid w:val="00527C4D"/>
    <w:rsid w:val="00530802"/>
    <w:rsid w:val="00531BC5"/>
    <w:rsid w:val="00532015"/>
    <w:rsid w:val="00533017"/>
    <w:rsid w:val="0053387F"/>
    <w:rsid w:val="00535B66"/>
    <w:rsid w:val="00541B24"/>
    <w:rsid w:val="00541D41"/>
    <w:rsid w:val="00541DA4"/>
    <w:rsid w:val="005435F1"/>
    <w:rsid w:val="00545429"/>
    <w:rsid w:val="0054661C"/>
    <w:rsid w:val="00547571"/>
    <w:rsid w:val="00550D5F"/>
    <w:rsid w:val="005546C9"/>
    <w:rsid w:val="00557040"/>
    <w:rsid w:val="00557EB7"/>
    <w:rsid w:val="005643B5"/>
    <w:rsid w:val="00567CFC"/>
    <w:rsid w:val="0057099C"/>
    <w:rsid w:val="00572754"/>
    <w:rsid w:val="00573AA9"/>
    <w:rsid w:val="00576030"/>
    <w:rsid w:val="00581344"/>
    <w:rsid w:val="00581A08"/>
    <w:rsid w:val="0058413D"/>
    <w:rsid w:val="005850DF"/>
    <w:rsid w:val="005853BB"/>
    <w:rsid w:val="005904AC"/>
    <w:rsid w:val="00590715"/>
    <w:rsid w:val="00593588"/>
    <w:rsid w:val="00593851"/>
    <w:rsid w:val="00594251"/>
    <w:rsid w:val="00595EE0"/>
    <w:rsid w:val="00595F3D"/>
    <w:rsid w:val="0059606E"/>
    <w:rsid w:val="00597449"/>
    <w:rsid w:val="005A1D48"/>
    <w:rsid w:val="005A1F97"/>
    <w:rsid w:val="005A31B6"/>
    <w:rsid w:val="005A373F"/>
    <w:rsid w:val="005A6C0D"/>
    <w:rsid w:val="005A6EE0"/>
    <w:rsid w:val="005A746E"/>
    <w:rsid w:val="005A7F9A"/>
    <w:rsid w:val="005B2BAF"/>
    <w:rsid w:val="005B3814"/>
    <w:rsid w:val="005B3EFA"/>
    <w:rsid w:val="005B5AF5"/>
    <w:rsid w:val="005C0798"/>
    <w:rsid w:val="005C31CF"/>
    <w:rsid w:val="005C5B39"/>
    <w:rsid w:val="005C670E"/>
    <w:rsid w:val="005C7F56"/>
    <w:rsid w:val="005D1D55"/>
    <w:rsid w:val="005D3C2B"/>
    <w:rsid w:val="005D44E0"/>
    <w:rsid w:val="005D7154"/>
    <w:rsid w:val="005D7527"/>
    <w:rsid w:val="005E00A5"/>
    <w:rsid w:val="005E11BB"/>
    <w:rsid w:val="005E21F7"/>
    <w:rsid w:val="005E3F1A"/>
    <w:rsid w:val="005E4BFC"/>
    <w:rsid w:val="005F075C"/>
    <w:rsid w:val="005F2445"/>
    <w:rsid w:val="005F3643"/>
    <w:rsid w:val="005F48F7"/>
    <w:rsid w:val="0060003E"/>
    <w:rsid w:val="00601CF9"/>
    <w:rsid w:val="00603BEC"/>
    <w:rsid w:val="00606A1E"/>
    <w:rsid w:val="00610A64"/>
    <w:rsid w:val="0061340A"/>
    <w:rsid w:val="00616DF6"/>
    <w:rsid w:val="00617788"/>
    <w:rsid w:val="006207DE"/>
    <w:rsid w:val="00621396"/>
    <w:rsid w:val="00621C2C"/>
    <w:rsid w:val="00622052"/>
    <w:rsid w:val="00624A39"/>
    <w:rsid w:val="006259F1"/>
    <w:rsid w:val="00626F7B"/>
    <w:rsid w:val="00626FB1"/>
    <w:rsid w:val="00627A30"/>
    <w:rsid w:val="00631A3D"/>
    <w:rsid w:val="00631B0A"/>
    <w:rsid w:val="00633B31"/>
    <w:rsid w:val="00634FA9"/>
    <w:rsid w:val="006355A5"/>
    <w:rsid w:val="006373CC"/>
    <w:rsid w:val="0063773B"/>
    <w:rsid w:val="00640A60"/>
    <w:rsid w:val="00641990"/>
    <w:rsid w:val="00641BAD"/>
    <w:rsid w:val="00647AD8"/>
    <w:rsid w:val="0065165F"/>
    <w:rsid w:val="00652B4A"/>
    <w:rsid w:val="006605DA"/>
    <w:rsid w:val="00662DC9"/>
    <w:rsid w:val="006634FD"/>
    <w:rsid w:val="00664C7E"/>
    <w:rsid w:val="00666A13"/>
    <w:rsid w:val="00667CAD"/>
    <w:rsid w:val="0067452D"/>
    <w:rsid w:val="00674604"/>
    <w:rsid w:val="00674A9C"/>
    <w:rsid w:val="00676393"/>
    <w:rsid w:val="00676D01"/>
    <w:rsid w:val="00677F46"/>
    <w:rsid w:val="00680072"/>
    <w:rsid w:val="0068703B"/>
    <w:rsid w:val="006902FB"/>
    <w:rsid w:val="0069131F"/>
    <w:rsid w:val="0069132E"/>
    <w:rsid w:val="00692424"/>
    <w:rsid w:val="006933D0"/>
    <w:rsid w:val="0069486E"/>
    <w:rsid w:val="00694FB9"/>
    <w:rsid w:val="00696ED0"/>
    <w:rsid w:val="00697202"/>
    <w:rsid w:val="006A01E0"/>
    <w:rsid w:val="006A0D90"/>
    <w:rsid w:val="006A29DF"/>
    <w:rsid w:val="006A303C"/>
    <w:rsid w:val="006A5942"/>
    <w:rsid w:val="006A5EC5"/>
    <w:rsid w:val="006B48B9"/>
    <w:rsid w:val="006C0332"/>
    <w:rsid w:val="006C1E92"/>
    <w:rsid w:val="006C2226"/>
    <w:rsid w:val="006C3427"/>
    <w:rsid w:val="006C70F4"/>
    <w:rsid w:val="006C7643"/>
    <w:rsid w:val="006D2EA1"/>
    <w:rsid w:val="006E090F"/>
    <w:rsid w:val="006E1486"/>
    <w:rsid w:val="006E295F"/>
    <w:rsid w:val="006E3F83"/>
    <w:rsid w:val="006E4CC3"/>
    <w:rsid w:val="006E6812"/>
    <w:rsid w:val="006E6D9A"/>
    <w:rsid w:val="006E7A96"/>
    <w:rsid w:val="006F2381"/>
    <w:rsid w:val="006F3FA8"/>
    <w:rsid w:val="006F4C18"/>
    <w:rsid w:val="006F545A"/>
    <w:rsid w:val="006F7221"/>
    <w:rsid w:val="00700542"/>
    <w:rsid w:val="00700930"/>
    <w:rsid w:val="00700FAF"/>
    <w:rsid w:val="00701F9E"/>
    <w:rsid w:val="007046E2"/>
    <w:rsid w:val="00704D61"/>
    <w:rsid w:val="00705909"/>
    <w:rsid w:val="00707024"/>
    <w:rsid w:val="00711EC2"/>
    <w:rsid w:val="00712F8A"/>
    <w:rsid w:val="00713E39"/>
    <w:rsid w:val="00713FF2"/>
    <w:rsid w:val="00714710"/>
    <w:rsid w:val="00720F97"/>
    <w:rsid w:val="00724B3D"/>
    <w:rsid w:val="00725ED3"/>
    <w:rsid w:val="00726A38"/>
    <w:rsid w:val="00727D45"/>
    <w:rsid w:val="00736AA8"/>
    <w:rsid w:val="007405DF"/>
    <w:rsid w:val="00740E6B"/>
    <w:rsid w:val="00741196"/>
    <w:rsid w:val="00741440"/>
    <w:rsid w:val="00743646"/>
    <w:rsid w:val="00751530"/>
    <w:rsid w:val="00752E62"/>
    <w:rsid w:val="00753CA1"/>
    <w:rsid w:val="0075484B"/>
    <w:rsid w:val="00761241"/>
    <w:rsid w:val="0076156E"/>
    <w:rsid w:val="00761939"/>
    <w:rsid w:val="00761B65"/>
    <w:rsid w:val="007644D5"/>
    <w:rsid w:val="00765217"/>
    <w:rsid w:val="0076610D"/>
    <w:rsid w:val="00766ED8"/>
    <w:rsid w:val="007674EB"/>
    <w:rsid w:val="00767DB9"/>
    <w:rsid w:val="00772FC1"/>
    <w:rsid w:val="00773467"/>
    <w:rsid w:val="0077532E"/>
    <w:rsid w:val="007777B7"/>
    <w:rsid w:val="00780377"/>
    <w:rsid w:val="007815E4"/>
    <w:rsid w:val="0078166E"/>
    <w:rsid w:val="00785623"/>
    <w:rsid w:val="00787783"/>
    <w:rsid w:val="00790522"/>
    <w:rsid w:val="007908E4"/>
    <w:rsid w:val="0079183C"/>
    <w:rsid w:val="007932B0"/>
    <w:rsid w:val="00795BB1"/>
    <w:rsid w:val="00796F79"/>
    <w:rsid w:val="0079716D"/>
    <w:rsid w:val="007A0A55"/>
    <w:rsid w:val="007A0C04"/>
    <w:rsid w:val="007A28C8"/>
    <w:rsid w:val="007A4923"/>
    <w:rsid w:val="007A4B76"/>
    <w:rsid w:val="007B02F9"/>
    <w:rsid w:val="007B10A6"/>
    <w:rsid w:val="007B37F9"/>
    <w:rsid w:val="007B4FDC"/>
    <w:rsid w:val="007B52DF"/>
    <w:rsid w:val="007B7778"/>
    <w:rsid w:val="007B7D9E"/>
    <w:rsid w:val="007C7158"/>
    <w:rsid w:val="007D105D"/>
    <w:rsid w:val="007D1ADE"/>
    <w:rsid w:val="007D5ACF"/>
    <w:rsid w:val="007D5E17"/>
    <w:rsid w:val="007D73E7"/>
    <w:rsid w:val="007D7DE0"/>
    <w:rsid w:val="007E1FEE"/>
    <w:rsid w:val="007E5F8B"/>
    <w:rsid w:val="007E6324"/>
    <w:rsid w:val="007E69D1"/>
    <w:rsid w:val="007E7309"/>
    <w:rsid w:val="007F1FA0"/>
    <w:rsid w:val="007F3193"/>
    <w:rsid w:val="007F7798"/>
    <w:rsid w:val="008012AB"/>
    <w:rsid w:val="00802D3A"/>
    <w:rsid w:val="00805F11"/>
    <w:rsid w:val="00806255"/>
    <w:rsid w:val="00810C84"/>
    <w:rsid w:val="00813C70"/>
    <w:rsid w:val="00814DAF"/>
    <w:rsid w:val="00814F76"/>
    <w:rsid w:val="00815797"/>
    <w:rsid w:val="00820241"/>
    <w:rsid w:val="008226C9"/>
    <w:rsid w:val="00826099"/>
    <w:rsid w:val="008307E2"/>
    <w:rsid w:val="00831C49"/>
    <w:rsid w:val="0083222F"/>
    <w:rsid w:val="00832514"/>
    <w:rsid w:val="00833F94"/>
    <w:rsid w:val="00834F8C"/>
    <w:rsid w:val="00841E8F"/>
    <w:rsid w:val="008425C7"/>
    <w:rsid w:val="00851015"/>
    <w:rsid w:val="00851684"/>
    <w:rsid w:val="0085205D"/>
    <w:rsid w:val="00852795"/>
    <w:rsid w:val="00852854"/>
    <w:rsid w:val="008535A6"/>
    <w:rsid w:val="0085454B"/>
    <w:rsid w:val="008560B1"/>
    <w:rsid w:val="00857D54"/>
    <w:rsid w:val="008608C4"/>
    <w:rsid w:val="00861429"/>
    <w:rsid w:val="00864AF9"/>
    <w:rsid w:val="00867B4E"/>
    <w:rsid w:val="00872F95"/>
    <w:rsid w:val="00873913"/>
    <w:rsid w:val="00873B20"/>
    <w:rsid w:val="00874310"/>
    <w:rsid w:val="0087510D"/>
    <w:rsid w:val="00876FF9"/>
    <w:rsid w:val="0087713F"/>
    <w:rsid w:val="008807D7"/>
    <w:rsid w:val="008812B3"/>
    <w:rsid w:val="008814BE"/>
    <w:rsid w:val="0088237C"/>
    <w:rsid w:val="00884E76"/>
    <w:rsid w:val="00884FB8"/>
    <w:rsid w:val="00885314"/>
    <w:rsid w:val="0088592F"/>
    <w:rsid w:val="00885D69"/>
    <w:rsid w:val="008932A1"/>
    <w:rsid w:val="008939F9"/>
    <w:rsid w:val="00894791"/>
    <w:rsid w:val="008950BD"/>
    <w:rsid w:val="00895797"/>
    <w:rsid w:val="00896948"/>
    <w:rsid w:val="00896B6E"/>
    <w:rsid w:val="008A1319"/>
    <w:rsid w:val="008A1E58"/>
    <w:rsid w:val="008A5118"/>
    <w:rsid w:val="008A64DE"/>
    <w:rsid w:val="008A69D5"/>
    <w:rsid w:val="008A70C8"/>
    <w:rsid w:val="008A76C7"/>
    <w:rsid w:val="008B468D"/>
    <w:rsid w:val="008B58BC"/>
    <w:rsid w:val="008B6649"/>
    <w:rsid w:val="008B6C56"/>
    <w:rsid w:val="008C1C52"/>
    <w:rsid w:val="008C1CA0"/>
    <w:rsid w:val="008C2D74"/>
    <w:rsid w:val="008C2D83"/>
    <w:rsid w:val="008C5FC9"/>
    <w:rsid w:val="008C6324"/>
    <w:rsid w:val="008C6A9E"/>
    <w:rsid w:val="008C7459"/>
    <w:rsid w:val="008C764C"/>
    <w:rsid w:val="008D2D1D"/>
    <w:rsid w:val="008D5419"/>
    <w:rsid w:val="008D5B40"/>
    <w:rsid w:val="008E2A92"/>
    <w:rsid w:val="008E2E70"/>
    <w:rsid w:val="008E30EF"/>
    <w:rsid w:val="008E35EB"/>
    <w:rsid w:val="008E3667"/>
    <w:rsid w:val="008E4136"/>
    <w:rsid w:val="008E5708"/>
    <w:rsid w:val="008F455B"/>
    <w:rsid w:val="008F7466"/>
    <w:rsid w:val="008F76E7"/>
    <w:rsid w:val="008F7AFA"/>
    <w:rsid w:val="0090349E"/>
    <w:rsid w:val="009034F6"/>
    <w:rsid w:val="00904CEA"/>
    <w:rsid w:val="00905276"/>
    <w:rsid w:val="00905F76"/>
    <w:rsid w:val="0091086D"/>
    <w:rsid w:val="00912298"/>
    <w:rsid w:val="00915CF2"/>
    <w:rsid w:val="00915DB8"/>
    <w:rsid w:val="00915FD6"/>
    <w:rsid w:val="00917B00"/>
    <w:rsid w:val="009203AF"/>
    <w:rsid w:val="0092358D"/>
    <w:rsid w:val="009253CD"/>
    <w:rsid w:val="009313C5"/>
    <w:rsid w:val="0093328A"/>
    <w:rsid w:val="009336FD"/>
    <w:rsid w:val="0093595F"/>
    <w:rsid w:val="009400F1"/>
    <w:rsid w:val="00940CC3"/>
    <w:rsid w:val="00940D7A"/>
    <w:rsid w:val="009420F9"/>
    <w:rsid w:val="00947CBE"/>
    <w:rsid w:val="00954D92"/>
    <w:rsid w:val="00956908"/>
    <w:rsid w:val="0095721B"/>
    <w:rsid w:val="00960E18"/>
    <w:rsid w:val="00970045"/>
    <w:rsid w:val="0097008D"/>
    <w:rsid w:val="009702E0"/>
    <w:rsid w:val="009705BD"/>
    <w:rsid w:val="0097089D"/>
    <w:rsid w:val="00971966"/>
    <w:rsid w:val="00975468"/>
    <w:rsid w:val="00976BCF"/>
    <w:rsid w:val="0097732D"/>
    <w:rsid w:val="009804E4"/>
    <w:rsid w:val="00980A8F"/>
    <w:rsid w:val="009852D3"/>
    <w:rsid w:val="0098603A"/>
    <w:rsid w:val="00987B60"/>
    <w:rsid w:val="009908C3"/>
    <w:rsid w:val="0099292B"/>
    <w:rsid w:val="00994994"/>
    <w:rsid w:val="00994D30"/>
    <w:rsid w:val="009A5B0D"/>
    <w:rsid w:val="009A5FE2"/>
    <w:rsid w:val="009B27FC"/>
    <w:rsid w:val="009B52F4"/>
    <w:rsid w:val="009B5676"/>
    <w:rsid w:val="009B765F"/>
    <w:rsid w:val="009C063F"/>
    <w:rsid w:val="009C0EF4"/>
    <w:rsid w:val="009C461A"/>
    <w:rsid w:val="009C7935"/>
    <w:rsid w:val="009D07FB"/>
    <w:rsid w:val="009D49A1"/>
    <w:rsid w:val="009D7218"/>
    <w:rsid w:val="009D7762"/>
    <w:rsid w:val="009D7FE3"/>
    <w:rsid w:val="009E1B67"/>
    <w:rsid w:val="009E2069"/>
    <w:rsid w:val="009E23C3"/>
    <w:rsid w:val="009E4C0E"/>
    <w:rsid w:val="009E576E"/>
    <w:rsid w:val="009E70D3"/>
    <w:rsid w:val="009F0638"/>
    <w:rsid w:val="009F1B9E"/>
    <w:rsid w:val="009F2C26"/>
    <w:rsid w:val="009F44BC"/>
    <w:rsid w:val="009F588B"/>
    <w:rsid w:val="009F5C87"/>
    <w:rsid w:val="009F60F5"/>
    <w:rsid w:val="009F74A6"/>
    <w:rsid w:val="00A0416F"/>
    <w:rsid w:val="00A06DD0"/>
    <w:rsid w:val="00A1261E"/>
    <w:rsid w:val="00A130FB"/>
    <w:rsid w:val="00A13C65"/>
    <w:rsid w:val="00A207AC"/>
    <w:rsid w:val="00A22352"/>
    <w:rsid w:val="00A31477"/>
    <w:rsid w:val="00A31CE5"/>
    <w:rsid w:val="00A32563"/>
    <w:rsid w:val="00A414E6"/>
    <w:rsid w:val="00A43EC9"/>
    <w:rsid w:val="00A46603"/>
    <w:rsid w:val="00A46F84"/>
    <w:rsid w:val="00A55C9F"/>
    <w:rsid w:val="00A56261"/>
    <w:rsid w:val="00A57E0B"/>
    <w:rsid w:val="00A648FE"/>
    <w:rsid w:val="00A66AA0"/>
    <w:rsid w:val="00A66FB0"/>
    <w:rsid w:val="00A70F5C"/>
    <w:rsid w:val="00A71096"/>
    <w:rsid w:val="00A75377"/>
    <w:rsid w:val="00A80AE3"/>
    <w:rsid w:val="00A81220"/>
    <w:rsid w:val="00A86DCF"/>
    <w:rsid w:val="00A91868"/>
    <w:rsid w:val="00A92254"/>
    <w:rsid w:val="00A94AC4"/>
    <w:rsid w:val="00A96FD0"/>
    <w:rsid w:val="00A97BBA"/>
    <w:rsid w:val="00AA00F0"/>
    <w:rsid w:val="00AA42F7"/>
    <w:rsid w:val="00AA7888"/>
    <w:rsid w:val="00AA7C35"/>
    <w:rsid w:val="00AB1B33"/>
    <w:rsid w:val="00AB37EC"/>
    <w:rsid w:val="00AB4763"/>
    <w:rsid w:val="00AB5D8B"/>
    <w:rsid w:val="00AB6B3B"/>
    <w:rsid w:val="00AB716E"/>
    <w:rsid w:val="00AB726E"/>
    <w:rsid w:val="00AC4F3C"/>
    <w:rsid w:val="00AD0F48"/>
    <w:rsid w:val="00AD2050"/>
    <w:rsid w:val="00AD3877"/>
    <w:rsid w:val="00AD4AD2"/>
    <w:rsid w:val="00AD5725"/>
    <w:rsid w:val="00AD7D6A"/>
    <w:rsid w:val="00AE0259"/>
    <w:rsid w:val="00AE067E"/>
    <w:rsid w:val="00AE2412"/>
    <w:rsid w:val="00AE4220"/>
    <w:rsid w:val="00AE4594"/>
    <w:rsid w:val="00AE6363"/>
    <w:rsid w:val="00AE6925"/>
    <w:rsid w:val="00AE710A"/>
    <w:rsid w:val="00AE72A5"/>
    <w:rsid w:val="00AF14E8"/>
    <w:rsid w:val="00AF31A5"/>
    <w:rsid w:val="00AF48EC"/>
    <w:rsid w:val="00AF6696"/>
    <w:rsid w:val="00B053B8"/>
    <w:rsid w:val="00B0573E"/>
    <w:rsid w:val="00B06740"/>
    <w:rsid w:val="00B06D18"/>
    <w:rsid w:val="00B10612"/>
    <w:rsid w:val="00B10823"/>
    <w:rsid w:val="00B1096C"/>
    <w:rsid w:val="00B111FA"/>
    <w:rsid w:val="00B11897"/>
    <w:rsid w:val="00B12306"/>
    <w:rsid w:val="00B13ECC"/>
    <w:rsid w:val="00B16271"/>
    <w:rsid w:val="00B16396"/>
    <w:rsid w:val="00B2107C"/>
    <w:rsid w:val="00B261A4"/>
    <w:rsid w:val="00B26830"/>
    <w:rsid w:val="00B268E3"/>
    <w:rsid w:val="00B27082"/>
    <w:rsid w:val="00B305DC"/>
    <w:rsid w:val="00B32662"/>
    <w:rsid w:val="00B34E49"/>
    <w:rsid w:val="00B3623D"/>
    <w:rsid w:val="00B36D20"/>
    <w:rsid w:val="00B42EF7"/>
    <w:rsid w:val="00B43EC4"/>
    <w:rsid w:val="00B44765"/>
    <w:rsid w:val="00B44950"/>
    <w:rsid w:val="00B453A8"/>
    <w:rsid w:val="00B4548D"/>
    <w:rsid w:val="00B501E6"/>
    <w:rsid w:val="00B52028"/>
    <w:rsid w:val="00B52117"/>
    <w:rsid w:val="00B5289E"/>
    <w:rsid w:val="00B62FF5"/>
    <w:rsid w:val="00B64705"/>
    <w:rsid w:val="00B65D78"/>
    <w:rsid w:val="00B66348"/>
    <w:rsid w:val="00B66822"/>
    <w:rsid w:val="00B66D30"/>
    <w:rsid w:val="00B70B64"/>
    <w:rsid w:val="00B7329B"/>
    <w:rsid w:val="00B738B1"/>
    <w:rsid w:val="00B779BF"/>
    <w:rsid w:val="00B77D29"/>
    <w:rsid w:val="00B8123D"/>
    <w:rsid w:val="00B81F6B"/>
    <w:rsid w:val="00B8276C"/>
    <w:rsid w:val="00B84604"/>
    <w:rsid w:val="00B848D4"/>
    <w:rsid w:val="00B85685"/>
    <w:rsid w:val="00B85AA7"/>
    <w:rsid w:val="00B90502"/>
    <w:rsid w:val="00B914F1"/>
    <w:rsid w:val="00B9313F"/>
    <w:rsid w:val="00B93407"/>
    <w:rsid w:val="00B95277"/>
    <w:rsid w:val="00B95530"/>
    <w:rsid w:val="00BA0221"/>
    <w:rsid w:val="00BA4E8D"/>
    <w:rsid w:val="00BA72B8"/>
    <w:rsid w:val="00BB24C6"/>
    <w:rsid w:val="00BB3BF8"/>
    <w:rsid w:val="00BB3D08"/>
    <w:rsid w:val="00BB4CD1"/>
    <w:rsid w:val="00BC087A"/>
    <w:rsid w:val="00BC1ABA"/>
    <w:rsid w:val="00BC2C1E"/>
    <w:rsid w:val="00BC33B7"/>
    <w:rsid w:val="00BC3B49"/>
    <w:rsid w:val="00BC50E8"/>
    <w:rsid w:val="00BD03D1"/>
    <w:rsid w:val="00BD136F"/>
    <w:rsid w:val="00BD23A7"/>
    <w:rsid w:val="00BD35D8"/>
    <w:rsid w:val="00BD36D7"/>
    <w:rsid w:val="00BD4A71"/>
    <w:rsid w:val="00BD4E32"/>
    <w:rsid w:val="00BD5916"/>
    <w:rsid w:val="00BD67EA"/>
    <w:rsid w:val="00BE0626"/>
    <w:rsid w:val="00BE18A7"/>
    <w:rsid w:val="00BE2934"/>
    <w:rsid w:val="00BE3B6A"/>
    <w:rsid w:val="00BE69CF"/>
    <w:rsid w:val="00BF005B"/>
    <w:rsid w:val="00BF3735"/>
    <w:rsid w:val="00BF445C"/>
    <w:rsid w:val="00BF6453"/>
    <w:rsid w:val="00C0055E"/>
    <w:rsid w:val="00C0282C"/>
    <w:rsid w:val="00C047B2"/>
    <w:rsid w:val="00C051CF"/>
    <w:rsid w:val="00C107D8"/>
    <w:rsid w:val="00C13214"/>
    <w:rsid w:val="00C147A7"/>
    <w:rsid w:val="00C17806"/>
    <w:rsid w:val="00C21ABF"/>
    <w:rsid w:val="00C22302"/>
    <w:rsid w:val="00C30289"/>
    <w:rsid w:val="00C30EA4"/>
    <w:rsid w:val="00C341F5"/>
    <w:rsid w:val="00C351CD"/>
    <w:rsid w:val="00C357DD"/>
    <w:rsid w:val="00C35C8B"/>
    <w:rsid w:val="00C372E5"/>
    <w:rsid w:val="00C37A21"/>
    <w:rsid w:val="00C431CE"/>
    <w:rsid w:val="00C46919"/>
    <w:rsid w:val="00C54276"/>
    <w:rsid w:val="00C552D0"/>
    <w:rsid w:val="00C55792"/>
    <w:rsid w:val="00C62C7F"/>
    <w:rsid w:val="00C64CDD"/>
    <w:rsid w:val="00C670FF"/>
    <w:rsid w:val="00C67C2B"/>
    <w:rsid w:val="00C70502"/>
    <w:rsid w:val="00C724FF"/>
    <w:rsid w:val="00C730C7"/>
    <w:rsid w:val="00C747E5"/>
    <w:rsid w:val="00C74883"/>
    <w:rsid w:val="00C74D7C"/>
    <w:rsid w:val="00C75052"/>
    <w:rsid w:val="00C778E7"/>
    <w:rsid w:val="00C80106"/>
    <w:rsid w:val="00C819B6"/>
    <w:rsid w:val="00C841B3"/>
    <w:rsid w:val="00C86F84"/>
    <w:rsid w:val="00C90249"/>
    <w:rsid w:val="00C92672"/>
    <w:rsid w:val="00C92779"/>
    <w:rsid w:val="00C931C3"/>
    <w:rsid w:val="00C93B07"/>
    <w:rsid w:val="00C94A96"/>
    <w:rsid w:val="00C96171"/>
    <w:rsid w:val="00C96AAE"/>
    <w:rsid w:val="00CA00EB"/>
    <w:rsid w:val="00CA1128"/>
    <w:rsid w:val="00CA1FFA"/>
    <w:rsid w:val="00CA28C0"/>
    <w:rsid w:val="00CA469C"/>
    <w:rsid w:val="00CA4D94"/>
    <w:rsid w:val="00CA70AB"/>
    <w:rsid w:val="00CB1F49"/>
    <w:rsid w:val="00CB2C01"/>
    <w:rsid w:val="00CB2D7E"/>
    <w:rsid w:val="00CB649A"/>
    <w:rsid w:val="00CB74CF"/>
    <w:rsid w:val="00CC0937"/>
    <w:rsid w:val="00CC5546"/>
    <w:rsid w:val="00CC63E7"/>
    <w:rsid w:val="00CC6BD7"/>
    <w:rsid w:val="00CD2119"/>
    <w:rsid w:val="00CD253C"/>
    <w:rsid w:val="00CD4450"/>
    <w:rsid w:val="00CD4CED"/>
    <w:rsid w:val="00CD5CBD"/>
    <w:rsid w:val="00CD6FF0"/>
    <w:rsid w:val="00CE075F"/>
    <w:rsid w:val="00CE6181"/>
    <w:rsid w:val="00CE62B5"/>
    <w:rsid w:val="00CE6BEE"/>
    <w:rsid w:val="00CF0166"/>
    <w:rsid w:val="00CF3328"/>
    <w:rsid w:val="00CF39A6"/>
    <w:rsid w:val="00CF4123"/>
    <w:rsid w:val="00CF516A"/>
    <w:rsid w:val="00CF7120"/>
    <w:rsid w:val="00D000B1"/>
    <w:rsid w:val="00D0043B"/>
    <w:rsid w:val="00D01A53"/>
    <w:rsid w:val="00D036AF"/>
    <w:rsid w:val="00D07043"/>
    <w:rsid w:val="00D073F7"/>
    <w:rsid w:val="00D07A3A"/>
    <w:rsid w:val="00D11AF3"/>
    <w:rsid w:val="00D12861"/>
    <w:rsid w:val="00D14F03"/>
    <w:rsid w:val="00D15BC6"/>
    <w:rsid w:val="00D1639F"/>
    <w:rsid w:val="00D16C78"/>
    <w:rsid w:val="00D16ED5"/>
    <w:rsid w:val="00D24D97"/>
    <w:rsid w:val="00D24EBB"/>
    <w:rsid w:val="00D30234"/>
    <w:rsid w:val="00D309CD"/>
    <w:rsid w:val="00D31A94"/>
    <w:rsid w:val="00D31AA3"/>
    <w:rsid w:val="00D31D3D"/>
    <w:rsid w:val="00D32ADE"/>
    <w:rsid w:val="00D36440"/>
    <w:rsid w:val="00D42006"/>
    <w:rsid w:val="00D426FD"/>
    <w:rsid w:val="00D45144"/>
    <w:rsid w:val="00D4664D"/>
    <w:rsid w:val="00D47A1C"/>
    <w:rsid w:val="00D47B9C"/>
    <w:rsid w:val="00D5383C"/>
    <w:rsid w:val="00D63223"/>
    <w:rsid w:val="00D635D7"/>
    <w:rsid w:val="00D65912"/>
    <w:rsid w:val="00D66FF9"/>
    <w:rsid w:val="00D70B85"/>
    <w:rsid w:val="00D71861"/>
    <w:rsid w:val="00D71EA7"/>
    <w:rsid w:val="00D71EF9"/>
    <w:rsid w:val="00D726C2"/>
    <w:rsid w:val="00D72FEA"/>
    <w:rsid w:val="00D7621D"/>
    <w:rsid w:val="00D81547"/>
    <w:rsid w:val="00D81DC7"/>
    <w:rsid w:val="00D82BD6"/>
    <w:rsid w:val="00D84FF2"/>
    <w:rsid w:val="00D8638D"/>
    <w:rsid w:val="00D86453"/>
    <w:rsid w:val="00D9624A"/>
    <w:rsid w:val="00D9676E"/>
    <w:rsid w:val="00D967AD"/>
    <w:rsid w:val="00D9709F"/>
    <w:rsid w:val="00DA11B6"/>
    <w:rsid w:val="00DA1470"/>
    <w:rsid w:val="00DA271F"/>
    <w:rsid w:val="00DA2AC0"/>
    <w:rsid w:val="00DA4909"/>
    <w:rsid w:val="00DA506B"/>
    <w:rsid w:val="00DA7267"/>
    <w:rsid w:val="00DA733F"/>
    <w:rsid w:val="00DB04FC"/>
    <w:rsid w:val="00DB35C0"/>
    <w:rsid w:val="00DB4466"/>
    <w:rsid w:val="00DB5CA1"/>
    <w:rsid w:val="00DB5F56"/>
    <w:rsid w:val="00DB7212"/>
    <w:rsid w:val="00DB793C"/>
    <w:rsid w:val="00DB7A15"/>
    <w:rsid w:val="00DB7DE1"/>
    <w:rsid w:val="00DC0123"/>
    <w:rsid w:val="00DC1F57"/>
    <w:rsid w:val="00DC2AA6"/>
    <w:rsid w:val="00DC4A71"/>
    <w:rsid w:val="00DC52C9"/>
    <w:rsid w:val="00DC61E5"/>
    <w:rsid w:val="00DD0505"/>
    <w:rsid w:val="00DD21E3"/>
    <w:rsid w:val="00DD3EDE"/>
    <w:rsid w:val="00DE05CE"/>
    <w:rsid w:val="00DE4A43"/>
    <w:rsid w:val="00DE5105"/>
    <w:rsid w:val="00DE5495"/>
    <w:rsid w:val="00DE64F8"/>
    <w:rsid w:val="00DE668B"/>
    <w:rsid w:val="00DF1921"/>
    <w:rsid w:val="00DF1AC3"/>
    <w:rsid w:val="00DF46D6"/>
    <w:rsid w:val="00DF5F20"/>
    <w:rsid w:val="00E0062C"/>
    <w:rsid w:val="00E041D0"/>
    <w:rsid w:val="00E06839"/>
    <w:rsid w:val="00E0747E"/>
    <w:rsid w:val="00E076E7"/>
    <w:rsid w:val="00E12DF5"/>
    <w:rsid w:val="00E13A0E"/>
    <w:rsid w:val="00E152CA"/>
    <w:rsid w:val="00E16DB7"/>
    <w:rsid w:val="00E17004"/>
    <w:rsid w:val="00E2382C"/>
    <w:rsid w:val="00E251AE"/>
    <w:rsid w:val="00E273E5"/>
    <w:rsid w:val="00E308C5"/>
    <w:rsid w:val="00E32B58"/>
    <w:rsid w:val="00E332ED"/>
    <w:rsid w:val="00E363A8"/>
    <w:rsid w:val="00E40F50"/>
    <w:rsid w:val="00E41348"/>
    <w:rsid w:val="00E4277A"/>
    <w:rsid w:val="00E47411"/>
    <w:rsid w:val="00E501AE"/>
    <w:rsid w:val="00E50DE7"/>
    <w:rsid w:val="00E51C33"/>
    <w:rsid w:val="00E5308E"/>
    <w:rsid w:val="00E53F85"/>
    <w:rsid w:val="00E5438E"/>
    <w:rsid w:val="00E56FBC"/>
    <w:rsid w:val="00E639D6"/>
    <w:rsid w:val="00E65F5E"/>
    <w:rsid w:val="00E67DAD"/>
    <w:rsid w:val="00E67E4A"/>
    <w:rsid w:val="00E73371"/>
    <w:rsid w:val="00E74004"/>
    <w:rsid w:val="00E75081"/>
    <w:rsid w:val="00E762CC"/>
    <w:rsid w:val="00E77289"/>
    <w:rsid w:val="00E83928"/>
    <w:rsid w:val="00E845BA"/>
    <w:rsid w:val="00E858DD"/>
    <w:rsid w:val="00E85D2E"/>
    <w:rsid w:val="00E86AE9"/>
    <w:rsid w:val="00E86D98"/>
    <w:rsid w:val="00E915E2"/>
    <w:rsid w:val="00E9323E"/>
    <w:rsid w:val="00E9363C"/>
    <w:rsid w:val="00E93648"/>
    <w:rsid w:val="00E9500E"/>
    <w:rsid w:val="00E95D4E"/>
    <w:rsid w:val="00E978BC"/>
    <w:rsid w:val="00EA4B22"/>
    <w:rsid w:val="00EB03B5"/>
    <w:rsid w:val="00EB0C0C"/>
    <w:rsid w:val="00EB0C95"/>
    <w:rsid w:val="00EB18D2"/>
    <w:rsid w:val="00EB2452"/>
    <w:rsid w:val="00EB2513"/>
    <w:rsid w:val="00EB2D93"/>
    <w:rsid w:val="00EB531B"/>
    <w:rsid w:val="00EB6034"/>
    <w:rsid w:val="00EB6554"/>
    <w:rsid w:val="00EC1E75"/>
    <w:rsid w:val="00EC4C18"/>
    <w:rsid w:val="00EC6900"/>
    <w:rsid w:val="00EC7658"/>
    <w:rsid w:val="00ED2700"/>
    <w:rsid w:val="00ED2EAC"/>
    <w:rsid w:val="00ED33DD"/>
    <w:rsid w:val="00ED5CB7"/>
    <w:rsid w:val="00ED6260"/>
    <w:rsid w:val="00EE2B1D"/>
    <w:rsid w:val="00EE4B00"/>
    <w:rsid w:val="00EE4B48"/>
    <w:rsid w:val="00EE555A"/>
    <w:rsid w:val="00EE6A4D"/>
    <w:rsid w:val="00EE78FD"/>
    <w:rsid w:val="00EF0984"/>
    <w:rsid w:val="00EF155E"/>
    <w:rsid w:val="00EF4859"/>
    <w:rsid w:val="00EF6CF6"/>
    <w:rsid w:val="00EF7BF8"/>
    <w:rsid w:val="00F00D38"/>
    <w:rsid w:val="00F01733"/>
    <w:rsid w:val="00F02CEE"/>
    <w:rsid w:val="00F07FAB"/>
    <w:rsid w:val="00F10096"/>
    <w:rsid w:val="00F119F4"/>
    <w:rsid w:val="00F12D65"/>
    <w:rsid w:val="00F14307"/>
    <w:rsid w:val="00F1588F"/>
    <w:rsid w:val="00F1799E"/>
    <w:rsid w:val="00F20C47"/>
    <w:rsid w:val="00F321E0"/>
    <w:rsid w:val="00F33907"/>
    <w:rsid w:val="00F3447A"/>
    <w:rsid w:val="00F36029"/>
    <w:rsid w:val="00F37BBD"/>
    <w:rsid w:val="00F423D6"/>
    <w:rsid w:val="00F445AE"/>
    <w:rsid w:val="00F47779"/>
    <w:rsid w:val="00F477EF"/>
    <w:rsid w:val="00F52306"/>
    <w:rsid w:val="00F536A2"/>
    <w:rsid w:val="00F5450A"/>
    <w:rsid w:val="00F550DE"/>
    <w:rsid w:val="00F560E7"/>
    <w:rsid w:val="00F5642E"/>
    <w:rsid w:val="00F5698B"/>
    <w:rsid w:val="00F63CD9"/>
    <w:rsid w:val="00F65748"/>
    <w:rsid w:val="00F6695D"/>
    <w:rsid w:val="00F70737"/>
    <w:rsid w:val="00F708AD"/>
    <w:rsid w:val="00F70F45"/>
    <w:rsid w:val="00F71442"/>
    <w:rsid w:val="00F72073"/>
    <w:rsid w:val="00F7399F"/>
    <w:rsid w:val="00F76AC7"/>
    <w:rsid w:val="00F77B84"/>
    <w:rsid w:val="00F81CFF"/>
    <w:rsid w:val="00F82FD8"/>
    <w:rsid w:val="00F8372C"/>
    <w:rsid w:val="00F85D01"/>
    <w:rsid w:val="00F86FE8"/>
    <w:rsid w:val="00F97FBC"/>
    <w:rsid w:val="00FA029A"/>
    <w:rsid w:val="00FA1247"/>
    <w:rsid w:val="00FA12E7"/>
    <w:rsid w:val="00FA1355"/>
    <w:rsid w:val="00FA2884"/>
    <w:rsid w:val="00FA685B"/>
    <w:rsid w:val="00FA6A7C"/>
    <w:rsid w:val="00FB0655"/>
    <w:rsid w:val="00FB25C7"/>
    <w:rsid w:val="00FB499B"/>
    <w:rsid w:val="00FB55AB"/>
    <w:rsid w:val="00FB722D"/>
    <w:rsid w:val="00FB7F72"/>
    <w:rsid w:val="00FC1F51"/>
    <w:rsid w:val="00FC3850"/>
    <w:rsid w:val="00FC40DC"/>
    <w:rsid w:val="00FC4F26"/>
    <w:rsid w:val="00FC512F"/>
    <w:rsid w:val="00FC5D1B"/>
    <w:rsid w:val="00FD023D"/>
    <w:rsid w:val="00FD497A"/>
    <w:rsid w:val="00FE037D"/>
    <w:rsid w:val="00FE0F35"/>
    <w:rsid w:val="00FE1BAE"/>
    <w:rsid w:val="00FE461D"/>
    <w:rsid w:val="00FE542D"/>
    <w:rsid w:val="00FE6384"/>
    <w:rsid w:val="00FE65AB"/>
    <w:rsid w:val="00FF1865"/>
    <w:rsid w:val="00FF6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97AC2"/>
  <w15:docId w15:val="{CB5B3F36-B299-764C-B8C0-0B33A843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C1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BE18A7"/>
    <w:rPr>
      <w:color w:val="333399"/>
      <w:u w:val="single"/>
    </w:rPr>
  </w:style>
  <w:style w:type="character" w:customStyle="1" w:styleId="s0">
    <w:name w:val="s0"/>
    <w:rsid w:val="00BE18A7"/>
    <w:rPr>
      <w:rFonts w:ascii="Times New Roman" w:hAnsi="Times New Roman" w:cs="Times New Roman" w:hint="default"/>
      <w:b w:val="0"/>
      <w:bCs w:val="0"/>
      <w:i w:val="0"/>
      <w:iCs w:val="0"/>
      <w:color w:val="000000"/>
    </w:rPr>
  </w:style>
  <w:style w:type="character" w:customStyle="1" w:styleId="s2">
    <w:name w:val="s2"/>
    <w:rsid w:val="00BE18A7"/>
    <w:rPr>
      <w:rFonts w:ascii="Times New Roman" w:hAnsi="Times New Roman" w:cs="Times New Roman" w:hint="default"/>
      <w:color w:val="333399"/>
      <w:u w:val="single"/>
    </w:rPr>
  </w:style>
  <w:style w:type="character" w:customStyle="1" w:styleId="s1">
    <w:name w:val="s1"/>
    <w:rsid w:val="00BE18A7"/>
    <w:rPr>
      <w:rFonts w:ascii="Times New Roman" w:hAnsi="Times New Roman" w:cs="Times New Roman" w:hint="default"/>
      <w:b/>
      <w:bCs/>
      <w:color w:val="000000"/>
    </w:rPr>
  </w:style>
  <w:style w:type="character" w:styleId="a4">
    <w:name w:val="annotation reference"/>
    <w:basedOn w:val="a0"/>
    <w:uiPriority w:val="99"/>
    <w:semiHidden/>
    <w:unhideWhenUsed/>
    <w:rsid w:val="007B4FDC"/>
    <w:rPr>
      <w:sz w:val="16"/>
      <w:szCs w:val="16"/>
    </w:rPr>
  </w:style>
  <w:style w:type="paragraph" w:styleId="a5">
    <w:name w:val="annotation text"/>
    <w:basedOn w:val="a"/>
    <w:link w:val="a6"/>
    <w:uiPriority w:val="99"/>
    <w:unhideWhenUsed/>
    <w:rsid w:val="007B4FDC"/>
    <w:rPr>
      <w:sz w:val="20"/>
      <w:szCs w:val="20"/>
    </w:rPr>
  </w:style>
  <w:style w:type="character" w:customStyle="1" w:styleId="a6">
    <w:name w:val="Текст примечания Знак"/>
    <w:basedOn w:val="a0"/>
    <w:link w:val="a5"/>
    <w:uiPriority w:val="99"/>
    <w:rsid w:val="007B4FDC"/>
    <w:rPr>
      <w:rFonts w:ascii="Times New Roman" w:eastAsia="Times New Roman" w:hAnsi="Times New Roman" w:cs="Times New Roman"/>
      <w:color w:val="000000"/>
      <w:sz w:val="20"/>
      <w:szCs w:val="20"/>
      <w:lang w:eastAsia="ru-RU"/>
    </w:rPr>
  </w:style>
  <w:style w:type="paragraph" w:styleId="a7">
    <w:name w:val="annotation subject"/>
    <w:basedOn w:val="a5"/>
    <w:next w:val="a5"/>
    <w:link w:val="a8"/>
    <w:uiPriority w:val="99"/>
    <w:semiHidden/>
    <w:unhideWhenUsed/>
    <w:rsid w:val="007B4FDC"/>
    <w:rPr>
      <w:b/>
      <w:bCs/>
    </w:rPr>
  </w:style>
  <w:style w:type="character" w:customStyle="1" w:styleId="a8">
    <w:name w:val="Тема примечания Знак"/>
    <w:basedOn w:val="a6"/>
    <w:link w:val="a7"/>
    <w:uiPriority w:val="99"/>
    <w:semiHidden/>
    <w:rsid w:val="007B4FDC"/>
    <w:rPr>
      <w:rFonts w:ascii="Times New Roman" w:eastAsia="Times New Roman" w:hAnsi="Times New Roman" w:cs="Times New Roman"/>
      <w:b/>
      <w:bCs/>
      <w:color w:val="000000"/>
      <w:sz w:val="20"/>
      <w:szCs w:val="20"/>
      <w:lang w:eastAsia="ru-RU"/>
    </w:rPr>
  </w:style>
  <w:style w:type="paragraph" w:styleId="a9">
    <w:name w:val="Balloon Text"/>
    <w:basedOn w:val="a"/>
    <w:link w:val="aa"/>
    <w:uiPriority w:val="99"/>
    <w:semiHidden/>
    <w:unhideWhenUsed/>
    <w:rsid w:val="007B4FDC"/>
    <w:rPr>
      <w:rFonts w:ascii="Tahoma" w:hAnsi="Tahoma" w:cs="Tahoma"/>
      <w:sz w:val="16"/>
      <w:szCs w:val="16"/>
    </w:rPr>
  </w:style>
  <w:style w:type="character" w:customStyle="1" w:styleId="aa">
    <w:name w:val="Текст выноски Знак"/>
    <w:basedOn w:val="a0"/>
    <w:link w:val="a9"/>
    <w:uiPriority w:val="99"/>
    <w:semiHidden/>
    <w:rsid w:val="007B4FDC"/>
    <w:rPr>
      <w:rFonts w:ascii="Tahoma" w:eastAsia="Times New Roman" w:hAnsi="Tahoma" w:cs="Tahoma"/>
      <w:color w:val="000000"/>
      <w:sz w:val="16"/>
      <w:szCs w:val="16"/>
      <w:lang w:eastAsia="ru-RU"/>
    </w:rPr>
  </w:style>
  <w:style w:type="paragraph" w:styleId="ab">
    <w:name w:val="List Paragraph"/>
    <w:basedOn w:val="a"/>
    <w:uiPriority w:val="34"/>
    <w:qFormat/>
    <w:rsid w:val="005853BB"/>
    <w:pPr>
      <w:ind w:left="720"/>
      <w:contextualSpacing/>
    </w:pPr>
  </w:style>
  <w:style w:type="paragraph" w:styleId="ac">
    <w:name w:val="footnote text"/>
    <w:basedOn w:val="a"/>
    <w:link w:val="ad"/>
    <w:uiPriority w:val="99"/>
    <w:semiHidden/>
    <w:unhideWhenUsed/>
    <w:rsid w:val="0095721B"/>
    <w:rPr>
      <w:sz w:val="20"/>
      <w:szCs w:val="20"/>
    </w:rPr>
  </w:style>
  <w:style w:type="character" w:customStyle="1" w:styleId="ad">
    <w:name w:val="Текст сноски Знак"/>
    <w:basedOn w:val="a0"/>
    <w:link w:val="ac"/>
    <w:uiPriority w:val="99"/>
    <w:semiHidden/>
    <w:rsid w:val="0095721B"/>
    <w:rPr>
      <w:rFonts w:ascii="Times New Roman" w:eastAsia="Times New Roman" w:hAnsi="Times New Roman" w:cs="Times New Roman"/>
      <w:color w:val="000000"/>
      <w:sz w:val="20"/>
      <w:szCs w:val="20"/>
      <w:lang w:eastAsia="ru-RU"/>
    </w:rPr>
  </w:style>
  <w:style w:type="character" w:styleId="ae">
    <w:name w:val="footnote reference"/>
    <w:basedOn w:val="a0"/>
    <w:uiPriority w:val="99"/>
    <w:semiHidden/>
    <w:unhideWhenUsed/>
    <w:rsid w:val="0095721B"/>
    <w:rPr>
      <w:vertAlign w:val="superscript"/>
    </w:rPr>
  </w:style>
  <w:style w:type="paragraph" w:styleId="af">
    <w:name w:val="Normal (Web)"/>
    <w:basedOn w:val="a"/>
    <w:uiPriority w:val="99"/>
    <w:unhideWhenUsed/>
    <w:rsid w:val="00176478"/>
    <w:pPr>
      <w:spacing w:before="100" w:beforeAutospacing="1" w:after="100" w:afterAutospacing="1"/>
    </w:pPr>
    <w:rPr>
      <w:color w:val="auto"/>
    </w:rPr>
  </w:style>
  <w:style w:type="character" w:styleId="af0">
    <w:name w:val="Hyperlink"/>
    <w:basedOn w:val="a0"/>
    <w:uiPriority w:val="99"/>
    <w:unhideWhenUsed/>
    <w:rsid w:val="00176478"/>
    <w:rPr>
      <w:color w:val="0000FF"/>
      <w:u w:val="single"/>
    </w:rPr>
  </w:style>
  <w:style w:type="character" w:customStyle="1" w:styleId="fontstyle01">
    <w:name w:val="fontstyle01"/>
    <w:basedOn w:val="a0"/>
    <w:rsid w:val="00676D01"/>
    <w:rPr>
      <w:rFonts w:ascii="Times New Roman" w:hAnsi="Times New Roman" w:cs="Times New Roman" w:hint="default"/>
      <w:b w:val="0"/>
      <w:bCs w:val="0"/>
      <w:i w:val="0"/>
      <w:iCs w:val="0"/>
      <w:color w:val="000000"/>
      <w:sz w:val="24"/>
      <w:szCs w:val="24"/>
    </w:rPr>
  </w:style>
  <w:style w:type="table" w:styleId="af1">
    <w:name w:val="Table Grid"/>
    <w:basedOn w:val="a1"/>
    <w:uiPriority w:val="59"/>
    <w:rsid w:val="00B9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1C5928"/>
    <w:rPr>
      <w:sz w:val="20"/>
      <w:szCs w:val="20"/>
    </w:rPr>
  </w:style>
  <w:style w:type="character" w:customStyle="1" w:styleId="af3">
    <w:name w:val="Текст концевой сноски Знак"/>
    <w:basedOn w:val="a0"/>
    <w:link w:val="af2"/>
    <w:uiPriority w:val="99"/>
    <w:semiHidden/>
    <w:rsid w:val="001C5928"/>
    <w:rPr>
      <w:rFonts w:ascii="Times New Roman" w:eastAsia="Times New Roman" w:hAnsi="Times New Roman" w:cs="Times New Roman"/>
      <w:color w:val="000000"/>
      <w:sz w:val="20"/>
      <w:szCs w:val="20"/>
      <w:lang w:eastAsia="ru-RU"/>
    </w:rPr>
  </w:style>
  <w:style w:type="character" w:styleId="af4">
    <w:name w:val="endnote reference"/>
    <w:basedOn w:val="a0"/>
    <w:uiPriority w:val="99"/>
    <w:semiHidden/>
    <w:unhideWhenUsed/>
    <w:rsid w:val="001C5928"/>
    <w:rPr>
      <w:vertAlign w:val="superscript"/>
    </w:rPr>
  </w:style>
  <w:style w:type="character" w:styleId="af5">
    <w:name w:val="Strong"/>
    <w:basedOn w:val="a0"/>
    <w:uiPriority w:val="22"/>
    <w:qFormat/>
    <w:rsid w:val="00520256"/>
    <w:rPr>
      <w:b/>
      <w:bCs/>
    </w:rPr>
  </w:style>
  <w:style w:type="paragraph" w:styleId="af6">
    <w:name w:val="header"/>
    <w:basedOn w:val="a"/>
    <w:link w:val="af7"/>
    <w:uiPriority w:val="99"/>
    <w:unhideWhenUsed/>
    <w:rsid w:val="0008198B"/>
    <w:pPr>
      <w:tabs>
        <w:tab w:val="center" w:pos="4844"/>
        <w:tab w:val="right" w:pos="9689"/>
      </w:tabs>
    </w:pPr>
  </w:style>
  <w:style w:type="character" w:customStyle="1" w:styleId="af7">
    <w:name w:val="Верхний колонтитул Знак"/>
    <w:basedOn w:val="a0"/>
    <w:link w:val="af6"/>
    <w:uiPriority w:val="99"/>
    <w:rsid w:val="0008198B"/>
    <w:rPr>
      <w:rFonts w:ascii="Times New Roman" w:eastAsia="Times New Roman" w:hAnsi="Times New Roman" w:cs="Times New Roman"/>
      <w:color w:val="000000"/>
      <w:sz w:val="24"/>
      <w:szCs w:val="24"/>
      <w:lang w:eastAsia="ru-RU"/>
    </w:rPr>
  </w:style>
  <w:style w:type="paragraph" w:styleId="af8">
    <w:name w:val="footer"/>
    <w:basedOn w:val="a"/>
    <w:link w:val="af9"/>
    <w:uiPriority w:val="99"/>
    <w:unhideWhenUsed/>
    <w:rsid w:val="0008198B"/>
    <w:pPr>
      <w:tabs>
        <w:tab w:val="center" w:pos="4844"/>
        <w:tab w:val="right" w:pos="9689"/>
      </w:tabs>
    </w:pPr>
  </w:style>
  <w:style w:type="character" w:customStyle="1" w:styleId="af9">
    <w:name w:val="Нижний колонтитул Знак"/>
    <w:basedOn w:val="a0"/>
    <w:link w:val="af8"/>
    <w:uiPriority w:val="99"/>
    <w:rsid w:val="0008198B"/>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349">
      <w:bodyDiv w:val="1"/>
      <w:marLeft w:val="0"/>
      <w:marRight w:val="0"/>
      <w:marTop w:val="0"/>
      <w:marBottom w:val="0"/>
      <w:divBdr>
        <w:top w:val="none" w:sz="0" w:space="0" w:color="auto"/>
        <w:left w:val="none" w:sz="0" w:space="0" w:color="auto"/>
        <w:bottom w:val="none" w:sz="0" w:space="0" w:color="auto"/>
        <w:right w:val="none" w:sz="0" w:space="0" w:color="auto"/>
      </w:divBdr>
    </w:div>
    <w:div w:id="36004784">
      <w:bodyDiv w:val="1"/>
      <w:marLeft w:val="0"/>
      <w:marRight w:val="0"/>
      <w:marTop w:val="0"/>
      <w:marBottom w:val="0"/>
      <w:divBdr>
        <w:top w:val="none" w:sz="0" w:space="0" w:color="auto"/>
        <w:left w:val="none" w:sz="0" w:space="0" w:color="auto"/>
        <w:bottom w:val="none" w:sz="0" w:space="0" w:color="auto"/>
        <w:right w:val="none" w:sz="0" w:space="0" w:color="auto"/>
      </w:divBdr>
    </w:div>
    <w:div w:id="49766611">
      <w:bodyDiv w:val="1"/>
      <w:marLeft w:val="0"/>
      <w:marRight w:val="0"/>
      <w:marTop w:val="0"/>
      <w:marBottom w:val="0"/>
      <w:divBdr>
        <w:top w:val="none" w:sz="0" w:space="0" w:color="auto"/>
        <w:left w:val="none" w:sz="0" w:space="0" w:color="auto"/>
        <w:bottom w:val="none" w:sz="0" w:space="0" w:color="auto"/>
        <w:right w:val="none" w:sz="0" w:space="0" w:color="auto"/>
      </w:divBdr>
    </w:div>
    <w:div w:id="103312749">
      <w:bodyDiv w:val="1"/>
      <w:marLeft w:val="0"/>
      <w:marRight w:val="0"/>
      <w:marTop w:val="0"/>
      <w:marBottom w:val="0"/>
      <w:divBdr>
        <w:top w:val="none" w:sz="0" w:space="0" w:color="auto"/>
        <w:left w:val="none" w:sz="0" w:space="0" w:color="auto"/>
        <w:bottom w:val="none" w:sz="0" w:space="0" w:color="auto"/>
        <w:right w:val="none" w:sz="0" w:space="0" w:color="auto"/>
      </w:divBdr>
    </w:div>
    <w:div w:id="254636017">
      <w:bodyDiv w:val="1"/>
      <w:marLeft w:val="0"/>
      <w:marRight w:val="0"/>
      <w:marTop w:val="0"/>
      <w:marBottom w:val="0"/>
      <w:divBdr>
        <w:top w:val="none" w:sz="0" w:space="0" w:color="auto"/>
        <w:left w:val="none" w:sz="0" w:space="0" w:color="auto"/>
        <w:bottom w:val="none" w:sz="0" w:space="0" w:color="auto"/>
        <w:right w:val="none" w:sz="0" w:space="0" w:color="auto"/>
      </w:divBdr>
    </w:div>
    <w:div w:id="286275978">
      <w:bodyDiv w:val="1"/>
      <w:marLeft w:val="0"/>
      <w:marRight w:val="0"/>
      <w:marTop w:val="0"/>
      <w:marBottom w:val="0"/>
      <w:divBdr>
        <w:top w:val="none" w:sz="0" w:space="0" w:color="auto"/>
        <w:left w:val="none" w:sz="0" w:space="0" w:color="auto"/>
        <w:bottom w:val="none" w:sz="0" w:space="0" w:color="auto"/>
        <w:right w:val="none" w:sz="0" w:space="0" w:color="auto"/>
      </w:divBdr>
    </w:div>
    <w:div w:id="518854657">
      <w:bodyDiv w:val="1"/>
      <w:marLeft w:val="0"/>
      <w:marRight w:val="0"/>
      <w:marTop w:val="0"/>
      <w:marBottom w:val="0"/>
      <w:divBdr>
        <w:top w:val="none" w:sz="0" w:space="0" w:color="auto"/>
        <w:left w:val="none" w:sz="0" w:space="0" w:color="auto"/>
        <w:bottom w:val="none" w:sz="0" w:space="0" w:color="auto"/>
        <w:right w:val="none" w:sz="0" w:space="0" w:color="auto"/>
      </w:divBdr>
    </w:div>
    <w:div w:id="639699628">
      <w:bodyDiv w:val="1"/>
      <w:marLeft w:val="0"/>
      <w:marRight w:val="0"/>
      <w:marTop w:val="0"/>
      <w:marBottom w:val="0"/>
      <w:divBdr>
        <w:top w:val="none" w:sz="0" w:space="0" w:color="auto"/>
        <w:left w:val="none" w:sz="0" w:space="0" w:color="auto"/>
        <w:bottom w:val="none" w:sz="0" w:space="0" w:color="auto"/>
        <w:right w:val="none" w:sz="0" w:space="0" w:color="auto"/>
      </w:divBdr>
    </w:div>
    <w:div w:id="761950465">
      <w:bodyDiv w:val="1"/>
      <w:marLeft w:val="0"/>
      <w:marRight w:val="0"/>
      <w:marTop w:val="0"/>
      <w:marBottom w:val="0"/>
      <w:divBdr>
        <w:top w:val="none" w:sz="0" w:space="0" w:color="auto"/>
        <w:left w:val="none" w:sz="0" w:space="0" w:color="auto"/>
        <w:bottom w:val="none" w:sz="0" w:space="0" w:color="auto"/>
        <w:right w:val="none" w:sz="0" w:space="0" w:color="auto"/>
      </w:divBdr>
    </w:div>
    <w:div w:id="937982771">
      <w:bodyDiv w:val="1"/>
      <w:marLeft w:val="0"/>
      <w:marRight w:val="0"/>
      <w:marTop w:val="0"/>
      <w:marBottom w:val="0"/>
      <w:divBdr>
        <w:top w:val="none" w:sz="0" w:space="0" w:color="auto"/>
        <w:left w:val="none" w:sz="0" w:space="0" w:color="auto"/>
        <w:bottom w:val="none" w:sz="0" w:space="0" w:color="auto"/>
        <w:right w:val="none" w:sz="0" w:space="0" w:color="auto"/>
      </w:divBdr>
    </w:div>
    <w:div w:id="1421679856">
      <w:bodyDiv w:val="1"/>
      <w:marLeft w:val="0"/>
      <w:marRight w:val="0"/>
      <w:marTop w:val="0"/>
      <w:marBottom w:val="0"/>
      <w:divBdr>
        <w:top w:val="none" w:sz="0" w:space="0" w:color="auto"/>
        <w:left w:val="none" w:sz="0" w:space="0" w:color="auto"/>
        <w:bottom w:val="none" w:sz="0" w:space="0" w:color="auto"/>
        <w:right w:val="none" w:sz="0" w:space="0" w:color="auto"/>
      </w:divBdr>
    </w:div>
    <w:div w:id="1572691482">
      <w:bodyDiv w:val="1"/>
      <w:marLeft w:val="0"/>
      <w:marRight w:val="0"/>
      <w:marTop w:val="0"/>
      <w:marBottom w:val="0"/>
      <w:divBdr>
        <w:top w:val="none" w:sz="0" w:space="0" w:color="auto"/>
        <w:left w:val="none" w:sz="0" w:space="0" w:color="auto"/>
        <w:bottom w:val="none" w:sz="0" w:space="0" w:color="auto"/>
        <w:right w:val="none" w:sz="0" w:space="0" w:color="auto"/>
      </w:divBdr>
    </w:div>
    <w:div w:id="1730885822">
      <w:bodyDiv w:val="1"/>
      <w:marLeft w:val="0"/>
      <w:marRight w:val="0"/>
      <w:marTop w:val="0"/>
      <w:marBottom w:val="0"/>
      <w:divBdr>
        <w:top w:val="none" w:sz="0" w:space="0" w:color="auto"/>
        <w:left w:val="none" w:sz="0" w:space="0" w:color="auto"/>
        <w:bottom w:val="none" w:sz="0" w:space="0" w:color="auto"/>
        <w:right w:val="none" w:sz="0" w:space="0" w:color="auto"/>
      </w:divBdr>
    </w:div>
    <w:div w:id="1744646387">
      <w:bodyDiv w:val="1"/>
      <w:marLeft w:val="0"/>
      <w:marRight w:val="0"/>
      <w:marTop w:val="0"/>
      <w:marBottom w:val="0"/>
      <w:divBdr>
        <w:top w:val="none" w:sz="0" w:space="0" w:color="auto"/>
        <w:left w:val="none" w:sz="0" w:space="0" w:color="auto"/>
        <w:bottom w:val="none" w:sz="0" w:space="0" w:color="auto"/>
        <w:right w:val="none" w:sz="0" w:space="0" w:color="auto"/>
      </w:divBdr>
    </w:div>
    <w:div w:id="1875338842">
      <w:bodyDiv w:val="1"/>
      <w:marLeft w:val="0"/>
      <w:marRight w:val="0"/>
      <w:marTop w:val="0"/>
      <w:marBottom w:val="0"/>
      <w:divBdr>
        <w:top w:val="none" w:sz="0" w:space="0" w:color="auto"/>
        <w:left w:val="none" w:sz="0" w:space="0" w:color="auto"/>
        <w:bottom w:val="none" w:sz="0" w:space="0" w:color="auto"/>
        <w:right w:val="none" w:sz="0" w:space="0" w:color="auto"/>
      </w:divBdr>
    </w:div>
    <w:div w:id="1880970769">
      <w:bodyDiv w:val="1"/>
      <w:marLeft w:val="0"/>
      <w:marRight w:val="0"/>
      <w:marTop w:val="0"/>
      <w:marBottom w:val="0"/>
      <w:divBdr>
        <w:top w:val="none" w:sz="0" w:space="0" w:color="auto"/>
        <w:left w:val="none" w:sz="0" w:space="0" w:color="auto"/>
        <w:bottom w:val="none" w:sz="0" w:space="0" w:color="auto"/>
        <w:right w:val="none" w:sz="0" w:space="0" w:color="auto"/>
      </w:divBdr>
    </w:div>
    <w:div w:id="19714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0486-0B54-45BB-B6E1-8167A55B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2412</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Маруа Утежан</cp:lastModifiedBy>
  <cp:revision>3</cp:revision>
  <dcterms:created xsi:type="dcterms:W3CDTF">2021-03-12T07:11:00Z</dcterms:created>
  <dcterms:modified xsi:type="dcterms:W3CDTF">2021-03-12T07:48:00Z</dcterms:modified>
</cp:coreProperties>
</file>